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F83" w:rsidRDefault="00956B3D" w:rsidP="00B73830">
      <w:pPr>
        <w:jc w:val="center"/>
        <w:rPr>
          <w:b/>
          <w:sz w:val="28"/>
          <w:szCs w:val="28"/>
          <w:lang w:val="en-US" w:eastAsia="en-US"/>
        </w:rPr>
      </w:pPr>
      <w:r w:rsidRPr="00956B3D">
        <w:rPr>
          <w:b/>
          <w:sz w:val="28"/>
          <w:szCs w:val="28"/>
          <w:lang w:val="en-US" w:eastAsia="en-US"/>
        </w:rPr>
        <w:t>THUYẾT MINH TÌNH H</w:t>
      </w:r>
      <w:r w:rsidR="00B30F83">
        <w:rPr>
          <w:b/>
          <w:sz w:val="28"/>
          <w:szCs w:val="28"/>
          <w:lang w:val="en-US" w:eastAsia="en-US"/>
        </w:rPr>
        <w:t>ÌNH THỰC HIỆN DỰ TOÁN</w:t>
      </w:r>
    </w:p>
    <w:p w:rsidR="00B30F83" w:rsidRDefault="00B30F83" w:rsidP="00B73830">
      <w:pPr>
        <w:jc w:val="center"/>
        <w:rPr>
          <w:b/>
          <w:sz w:val="28"/>
          <w:szCs w:val="28"/>
          <w:lang w:val="en-US" w:eastAsia="en-US"/>
        </w:rPr>
      </w:pPr>
      <w:r>
        <w:rPr>
          <w:b/>
          <w:sz w:val="28"/>
          <w:szCs w:val="28"/>
          <w:lang w:val="en-US" w:eastAsia="en-US"/>
        </w:rPr>
        <w:t>NGÂN SÁCH N</w:t>
      </w:r>
      <w:r w:rsidR="00956B3D" w:rsidRPr="00956B3D">
        <w:rPr>
          <w:b/>
          <w:sz w:val="28"/>
          <w:szCs w:val="28"/>
          <w:lang w:val="en-US" w:eastAsia="en-US"/>
        </w:rPr>
        <w:t xml:space="preserve">HÀ NƯỚC </w:t>
      </w:r>
      <w:r>
        <w:rPr>
          <w:b/>
          <w:sz w:val="28"/>
          <w:szCs w:val="28"/>
          <w:lang w:val="en-US" w:eastAsia="en-US"/>
        </w:rPr>
        <w:t xml:space="preserve">SÁU THÁNG ĐẦU </w:t>
      </w:r>
      <w:r w:rsidR="00AE56BD">
        <w:rPr>
          <w:b/>
          <w:sz w:val="28"/>
          <w:szCs w:val="28"/>
          <w:lang w:val="en-US" w:eastAsia="en-US"/>
        </w:rPr>
        <w:t>NĂM 202</w:t>
      </w:r>
      <w:r w:rsidR="00253E3D">
        <w:rPr>
          <w:b/>
          <w:sz w:val="28"/>
          <w:szCs w:val="28"/>
          <w:lang w:val="en-US" w:eastAsia="en-US"/>
        </w:rPr>
        <w:t>2</w:t>
      </w:r>
    </w:p>
    <w:p w:rsidR="00E50AD5" w:rsidRDefault="00A970AB" w:rsidP="00B73830">
      <w:pPr>
        <w:jc w:val="center"/>
        <w:rPr>
          <w:b/>
          <w:sz w:val="28"/>
          <w:szCs w:val="28"/>
          <w:lang w:val="en-US" w:eastAsia="en-US"/>
        </w:rPr>
      </w:pPr>
      <w:r>
        <w:rPr>
          <w:b/>
          <w:sz w:val="28"/>
          <w:szCs w:val="28"/>
          <w:lang w:val="en-US" w:eastAsia="en-US"/>
        </w:rPr>
        <w:t>CỦA</w:t>
      </w:r>
      <w:r w:rsidR="00B73830">
        <w:rPr>
          <w:b/>
          <w:sz w:val="28"/>
          <w:szCs w:val="28"/>
          <w:lang w:val="en-US" w:eastAsia="en-US"/>
        </w:rPr>
        <w:t xml:space="preserve"> </w:t>
      </w:r>
      <w:r>
        <w:rPr>
          <w:b/>
          <w:sz w:val="28"/>
          <w:szCs w:val="28"/>
          <w:lang w:val="en-US" w:eastAsia="en-US"/>
        </w:rPr>
        <w:t>BAN QUẢN LÝ KHU C</w:t>
      </w:r>
      <w:r w:rsidR="00B73830">
        <w:rPr>
          <w:b/>
          <w:sz w:val="28"/>
          <w:szCs w:val="28"/>
          <w:lang w:val="en-US" w:eastAsia="en-US"/>
        </w:rPr>
        <w:t>NC</w:t>
      </w:r>
      <w:r>
        <w:rPr>
          <w:b/>
          <w:sz w:val="28"/>
          <w:szCs w:val="28"/>
          <w:lang w:val="en-US" w:eastAsia="en-US"/>
        </w:rPr>
        <w:t xml:space="preserve"> HÒA LẠC</w:t>
      </w:r>
    </w:p>
    <w:p w:rsidR="005C6861" w:rsidRPr="0099548E" w:rsidRDefault="005C6861" w:rsidP="005C6861">
      <w:pPr>
        <w:jc w:val="center"/>
        <w:rPr>
          <w:i/>
          <w:sz w:val="28"/>
          <w:szCs w:val="28"/>
        </w:rPr>
      </w:pPr>
      <w:r w:rsidRPr="0099548E">
        <w:rPr>
          <w:i/>
          <w:sz w:val="28"/>
          <w:szCs w:val="28"/>
        </w:rPr>
        <w:t>(Kèm theo v</w:t>
      </w:r>
      <w:r>
        <w:rPr>
          <w:i/>
          <w:sz w:val="28"/>
          <w:szCs w:val="28"/>
        </w:rPr>
        <w:t>ă</w:t>
      </w:r>
      <w:r w:rsidRPr="0099548E">
        <w:rPr>
          <w:i/>
          <w:sz w:val="28"/>
          <w:szCs w:val="28"/>
        </w:rPr>
        <w:t xml:space="preserve">n bản số </w:t>
      </w:r>
      <w:r w:rsidR="002A4E9A">
        <w:rPr>
          <w:i/>
          <w:sz w:val="28"/>
          <w:szCs w:val="28"/>
          <w:lang w:val="en-US"/>
        </w:rPr>
        <w:t>377</w:t>
      </w:r>
      <w:r w:rsidRPr="0099548E">
        <w:rPr>
          <w:i/>
          <w:sz w:val="28"/>
          <w:szCs w:val="28"/>
        </w:rPr>
        <w:t xml:space="preserve">/CNCHL-KHTC ngày </w:t>
      </w:r>
      <w:r w:rsidR="002A4E9A">
        <w:rPr>
          <w:i/>
          <w:sz w:val="28"/>
          <w:szCs w:val="28"/>
          <w:lang w:val="en-US"/>
        </w:rPr>
        <w:t>07</w:t>
      </w:r>
      <w:bookmarkStart w:id="0" w:name="_GoBack"/>
      <w:bookmarkEnd w:id="0"/>
      <w:r w:rsidRPr="0099548E">
        <w:rPr>
          <w:i/>
          <w:sz w:val="28"/>
          <w:szCs w:val="28"/>
        </w:rPr>
        <w:t>/7/202</w:t>
      </w:r>
      <w:r w:rsidR="00253E3D">
        <w:rPr>
          <w:i/>
          <w:sz w:val="28"/>
          <w:szCs w:val="28"/>
          <w:lang w:val="en-US"/>
        </w:rPr>
        <w:t>2</w:t>
      </w:r>
      <w:r w:rsidRPr="0099548E">
        <w:rPr>
          <w:i/>
          <w:sz w:val="28"/>
          <w:szCs w:val="28"/>
        </w:rPr>
        <w:t>)</w:t>
      </w:r>
    </w:p>
    <w:p w:rsidR="005C6861" w:rsidRDefault="005C6861" w:rsidP="007C2797">
      <w:pPr>
        <w:ind w:firstLine="720"/>
        <w:jc w:val="center"/>
        <w:rPr>
          <w:b/>
          <w:sz w:val="28"/>
          <w:szCs w:val="28"/>
          <w:lang w:val="en-US"/>
        </w:rPr>
      </w:pPr>
    </w:p>
    <w:p w:rsidR="001C02EE" w:rsidRPr="001C02EE" w:rsidRDefault="00E50AD5" w:rsidP="009D2508">
      <w:pPr>
        <w:spacing w:before="120"/>
        <w:ind w:firstLine="567"/>
        <w:jc w:val="both"/>
        <w:rPr>
          <w:b/>
          <w:sz w:val="28"/>
          <w:szCs w:val="28"/>
          <w:lang w:val="en-US"/>
        </w:rPr>
      </w:pPr>
      <w:r>
        <w:rPr>
          <w:b/>
          <w:sz w:val="28"/>
          <w:szCs w:val="28"/>
          <w:lang w:val="en-US"/>
        </w:rPr>
        <w:t xml:space="preserve">I. </w:t>
      </w:r>
      <w:r w:rsidR="001C02EE" w:rsidRPr="001C02EE">
        <w:rPr>
          <w:b/>
          <w:sz w:val="28"/>
          <w:szCs w:val="28"/>
          <w:lang w:val="en-US"/>
        </w:rPr>
        <w:t xml:space="preserve">ĐÁNH GIÁ </w:t>
      </w:r>
      <w:r w:rsidR="00BA4BC9">
        <w:rPr>
          <w:b/>
          <w:sz w:val="28"/>
          <w:szCs w:val="28"/>
          <w:lang w:val="en-US"/>
        </w:rPr>
        <w:t>T</w:t>
      </w:r>
      <w:r w:rsidR="00BA4BC9" w:rsidRPr="00BA4BC9">
        <w:rPr>
          <w:b/>
          <w:sz w:val="28"/>
          <w:szCs w:val="28"/>
          <w:lang w:val="en-US"/>
        </w:rPr>
        <w:t>ÌNH</w:t>
      </w:r>
      <w:r w:rsidR="00BA4BC9">
        <w:rPr>
          <w:b/>
          <w:sz w:val="28"/>
          <w:szCs w:val="28"/>
          <w:lang w:val="en-US"/>
        </w:rPr>
        <w:t xml:space="preserve"> H</w:t>
      </w:r>
      <w:r w:rsidR="00BA4BC9" w:rsidRPr="00BA4BC9">
        <w:rPr>
          <w:b/>
          <w:sz w:val="28"/>
          <w:szCs w:val="28"/>
          <w:lang w:val="en-US"/>
        </w:rPr>
        <w:t>ÌNH</w:t>
      </w:r>
      <w:r w:rsidR="00BA4BC9">
        <w:rPr>
          <w:b/>
          <w:sz w:val="28"/>
          <w:szCs w:val="28"/>
          <w:lang w:val="en-US"/>
        </w:rPr>
        <w:t xml:space="preserve"> TH</w:t>
      </w:r>
      <w:r w:rsidR="00BA4BC9" w:rsidRPr="00BA4BC9">
        <w:rPr>
          <w:b/>
          <w:sz w:val="28"/>
          <w:szCs w:val="28"/>
          <w:lang w:val="en-US"/>
        </w:rPr>
        <w:t>ỰC</w:t>
      </w:r>
      <w:r w:rsidR="00BA4BC9">
        <w:rPr>
          <w:b/>
          <w:sz w:val="28"/>
          <w:szCs w:val="28"/>
          <w:lang w:val="en-US"/>
        </w:rPr>
        <w:t xml:space="preserve"> HI</w:t>
      </w:r>
      <w:r w:rsidR="00BA4BC9" w:rsidRPr="00BA4BC9">
        <w:rPr>
          <w:b/>
          <w:sz w:val="28"/>
          <w:szCs w:val="28"/>
          <w:lang w:val="en-US"/>
        </w:rPr>
        <w:t>ỆN</w:t>
      </w:r>
      <w:r w:rsidR="00BA4BC9">
        <w:rPr>
          <w:b/>
          <w:sz w:val="28"/>
          <w:szCs w:val="28"/>
          <w:lang w:val="en-US"/>
        </w:rPr>
        <w:t xml:space="preserve"> </w:t>
      </w:r>
      <w:r w:rsidR="001C02EE" w:rsidRPr="001C02EE">
        <w:rPr>
          <w:b/>
          <w:sz w:val="28"/>
          <w:szCs w:val="28"/>
          <w:lang w:val="en-US"/>
        </w:rPr>
        <w:t xml:space="preserve">TRONG QUÝ </w:t>
      </w:r>
      <w:r w:rsidR="00B30F83">
        <w:rPr>
          <w:b/>
          <w:sz w:val="28"/>
          <w:szCs w:val="28"/>
          <w:lang w:val="en-US"/>
        </w:rPr>
        <w:t>II</w:t>
      </w:r>
      <w:r w:rsidR="00FD6B53">
        <w:rPr>
          <w:b/>
          <w:sz w:val="28"/>
          <w:szCs w:val="28"/>
          <w:lang w:val="en-US"/>
        </w:rPr>
        <w:t xml:space="preserve"> NĂM </w:t>
      </w:r>
      <w:r w:rsidR="001C02EE" w:rsidRPr="001C02EE">
        <w:rPr>
          <w:b/>
          <w:sz w:val="28"/>
          <w:szCs w:val="28"/>
          <w:lang w:val="en-US"/>
        </w:rPr>
        <w:t>20</w:t>
      </w:r>
      <w:r w:rsidR="00253E3D">
        <w:rPr>
          <w:b/>
          <w:sz w:val="28"/>
          <w:szCs w:val="28"/>
          <w:lang w:val="en-US"/>
        </w:rPr>
        <w:t>22</w:t>
      </w:r>
    </w:p>
    <w:p w:rsidR="00A73077" w:rsidRDefault="00B30F83" w:rsidP="009D2508">
      <w:pPr>
        <w:spacing w:before="120"/>
        <w:ind w:firstLine="567"/>
        <w:jc w:val="both"/>
        <w:rPr>
          <w:sz w:val="28"/>
          <w:szCs w:val="28"/>
          <w:lang w:val="en-US"/>
        </w:rPr>
      </w:pPr>
      <w:r>
        <w:rPr>
          <w:sz w:val="28"/>
          <w:szCs w:val="28"/>
          <w:lang w:val="en-US"/>
        </w:rPr>
        <w:t>Q</w:t>
      </w:r>
      <w:r w:rsidR="00340DA9">
        <w:rPr>
          <w:sz w:val="28"/>
          <w:szCs w:val="28"/>
          <w:lang w:val="en-US"/>
        </w:rPr>
        <w:t xml:space="preserve">uý </w:t>
      </w:r>
      <w:r>
        <w:rPr>
          <w:sz w:val="28"/>
          <w:szCs w:val="28"/>
          <w:lang w:val="en-US"/>
        </w:rPr>
        <w:t>II</w:t>
      </w:r>
      <w:r w:rsidR="008128FC">
        <w:rPr>
          <w:sz w:val="28"/>
          <w:szCs w:val="28"/>
          <w:lang w:val="en-US"/>
        </w:rPr>
        <w:t xml:space="preserve"> năm </w:t>
      </w:r>
      <w:r w:rsidR="0062198A">
        <w:rPr>
          <w:sz w:val="28"/>
          <w:szCs w:val="28"/>
          <w:lang w:val="en-US"/>
        </w:rPr>
        <w:t>202</w:t>
      </w:r>
      <w:r w:rsidR="003B2610">
        <w:rPr>
          <w:sz w:val="28"/>
          <w:szCs w:val="28"/>
          <w:lang w:val="en-US"/>
        </w:rPr>
        <w:t>2</w:t>
      </w:r>
      <w:r w:rsidR="0062198A">
        <w:rPr>
          <w:sz w:val="28"/>
          <w:szCs w:val="28"/>
          <w:lang w:val="en-US"/>
        </w:rPr>
        <w:t xml:space="preserve"> đã chi </w:t>
      </w:r>
      <w:r>
        <w:rPr>
          <w:sz w:val="28"/>
          <w:szCs w:val="28"/>
          <w:lang w:val="en-US"/>
        </w:rPr>
        <w:t>4.</w:t>
      </w:r>
      <w:r w:rsidR="003B2610">
        <w:rPr>
          <w:sz w:val="28"/>
          <w:szCs w:val="28"/>
          <w:lang w:val="en-US"/>
        </w:rPr>
        <w:t>306</w:t>
      </w:r>
      <w:r>
        <w:rPr>
          <w:sz w:val="28"/>
          <w:szCs w:val="28"/>
          <w:lang w:val="en-US"/>
        </w:rPr>
        <w:t>,</w:t>
      </w:r>
      <w:r w:rsidR="003B2610">
        <w:rPr>
          <w:sz w:val="28"/>
          <w:szCs w:val="28"/>
          <w:lang w:val="en-US"/>
        </w:rPr>
        <w:t>2</w:t>
      </w:r>
      <w:r w:rsidR="0062198A">
        <w:rPr>
          <w:sz w:val="28"/>
          <w:szCs w:val="28"/>
          <w:lang w:val="en-US"/>
        </w:rPr>
        <w:t xml:space="preserve"> tri</w:t>
      </w:r>
      <w:r w:rsidR="0062198A" w:rsidRPr="00F9182D">
        <w:rPr>
          <w:sz w:val="28"/>
          <w:szCs w:val="28"/>
          <w:lang w:val="en-US"/>
        </w:rPr>
        <w:t>ệu</w:t>
      </w:r>
      <w:r w:rsidR="0062198A">
        <w:rPr>
          <w:sz w:val="28"/>
          <w:szCs w:val="28"/>
          <w:lang w:val="en-US"/>
        </w:rPr>
        <w:t xml:space="preserve"> đồng, đạt </w:t>
      </w:r>
      <w:r w:rsidR="00AD6538">
        <w:rPr>
          <w:sz w:val="28"/>
          <w:szCs w:val="28"/>
          <w:lang w:val="en-US"/>
        </w:rPr>
        <w:t>21</w:t>
      </w:r>
      <w:r w:rsidR="003B2610">
        <w:rPr>
          <w:sz w:val="28"/>
          <w:szCs w:val="28"/>
          <w:lang w:val="en-US"/>
        </w:rPr>
        <w:t>,</w:t>
      </w:r>
      <w:r w:rsidR="00AD6538">
        <w:rPr>
          <w:sz w:val="28"/>
          <w:szCs w:val="28"/>
          <w:lang w:val="en-US"/>
        </w:rPr>
        <w:t>97</w:t>
      </w:r>
      <w:r w:rsidR="003B2610">
        <w:rPr>
          <w:sz w:val="28"/>
          <w:szCs w:val="28"/>
          <w:lang w:val="en-US"/>
        </w:rPr>
        <w:t>% so với dự toán năm 2022</w:t>
      </w:r>
      <w:r w:rsidR="0062198A">
        <w:rPr>
          <w:sz w:val="28"/>
          <w:szCs w:val="28"/>
          <w:lang w:val="en-US"/>
        </w:rPr>
        <w:t xml:space="preserve">, bằng </w:t>
      </w:r>
      <w:r w:rsidR="008755F7">
        <w:rPr>
          <w:sz w:val="28"/>
          <w:szCs w:val="28"/>
          <w:lang w:val="en-US"/>
        </w:rPr>
        <w:t>1</w:t>
      </w:r>
      <w:r>
        <w:rPr>
          <w:sz w:val="28"/>
          <w:szCs w:val="28"/>
          <w:lang w:val="en-US"/>
        </w:rPr>
        <w:t>4</w:t>
      </w:r>
      <w:r w:rsidR="003B2610">
        <w:rPr>
          <w:sz w:val="28"/>
          <w:szCs w:val="28"/>
          <w:lang w:val="en-US"/>
        </w:rPr>
        <w:t>8</w:t>
      </w:r>
      <w:r>
        <w:rPr>
          <w:sz w:val="28"/>
          <w:szCs w:val="28"/>
          <w:lang w:val="en-US"/>
        </w:rPr>
        <w:t>,</w:t>
      </w:r>
      <w:r w:rsidR="003B2610">
        <w:rPr>
          <w:sz w:val="28"/>
          <w:szCs w:val="28"/>
          <w:lang w:val="en-US"/>
        </w:rPr>
        <w:t>34</w:t>
      </w:r>
      <w:r w:rsidR="008755F7">
        <w:rPr>
          <w:sz w:val="28"/>
          <w:szCs w:val="28"/>
          <w:lang w:val="en-US"/>
        </w:rPr>
        <w:t>%</w:t>
      </w:r>
      <w:r w:rsidR="0062198A">
        <w:rPr>
          <w:sz w:val="28"/>
          <w:szCs w:val="28"/>
          <w:lang w:val="en-US"/>
        </w:rPr>
        <w:t xml:space="preserve"> </w:t>
      </w:r>
      <w:r w:rsidR="00A73077">
        <w:rPr>
          <w:sz w:val="28"/>
          <w:szCs w:val="28"/>
          <w:lang w:val="en-US"/>
        </w:rPr>
        <w:t xml:space="preserve">so </w:t>
      </w:r>
      <w:r w:rsidR="003B2610">
        <w:rPr>
          <w:sz w:val="28"/>
          <w:szCs w:val="28"/>
          <w:lang w:val="en-US"/>
        </w:rPr>
        <w:t>với mức chi cùng kỳ năm 2021</w:t>
      </w:r>
      <w:r w:rsidR="00A73077">
        <w:rPr>
          <w:sz w:val="28"/>
          <w:szCs w:val="28"/>
          <w:lang w:val="en-US"/>
        </w:rPr>
        <w:t>.</w:t>
      </w:r>
    </w:p>
    <w:p w:rsidR="00654C75" w:rsidRPr="00ED3DEA" w:rsidRDefault="00654C75" w:rsidP="009D2508">
      <w:pPr>
        <w:spacing w:before="120"/>
        <w:ind w:firstLine="567"/>
        <w:jc w:val="both"/>
        <w:rPr>
          <w:sz w:val="28"/>
          <w:szCs w:val="28"/>
          <w:lang w:val="en-US"/>
        </w:rPr>
      </w:pPr>
      <w:r>
        <w:rPr>
          <w:sz w:val="28"/>
          <w:szCs w:val="28"/>
          <w:lang w:val="en-US"/>
        </w:rPr>
        <w:t>Trong đó:</w:t>
      </w:r>
    </w:p>
    <w:p w:rsidR="001F074E" w:rsidRDefault="001A3533" w:rsidP="009D2508">
      <w:pPr>
        <w:tabs>
          <w:tab w:val="left" w:pos="720"/>
        </w:tabs>
        <w:spacing w:before="120"/>
        <w:ind w:firstLine="567"/>
        <w:jc w:val="both"/>
        <w:rPr>
          <w:sz w:val="28"/>
          <w:szCs w:val="28"/>
          <w:lang w:val="en-US"/>
        </w:rPr>
      </w:pPr>
      <w:r>
        <w:rPr>
          <w:b/>
          <w:sz w:val="28"/>
          <w:szCs w:val="28"/>
          <w:lang w:val="en-US"/>
        </w:rPr>
        <w:t xml:space="preserve">1. </w:t>
      </w:r>
      <w:r w:rsidR="009D799B" w:rsidRPr="00654C75">
        <w:rPr>
          <w:b/>
          <w:sz w:val="28"/>
          <w:szCs w:val="28"/>
          <w:lang w:val="en-US"/>
        </w:rPr>
        <w:t>Chi quản lý hành chính</w:t>
      </w:r>
      <w:r w:rsidR="0065402C" w:rsidRPr="008B283C">
        <w:rPr>
          <w:b/>
          <w:sz w:val="28"/>
          <w:szCs w:val="28"/>
          <w:lang w:val="en-US"/>
        </w:rPr>
        <w:t>:</w:t>
      </w:r>
      <w:r w:rsidR="0065402C">
        <w:rPr>
          <w:sz w:val="28"/>
          <w:szCs w:val="28"/>
          <w:lang w:val="en-US"/>
        </w:rPr>
        <w:t xml:space="preserve"> </w:t>
      </w:r>
    </w:p>
    <w:p w:rsidR="003B2610" w:rsidRDefault="003B2610" w:rsidP="009D2508">
      <w:pPr>
        <w:tabs>
          <w:tab w:val="left" w:pos="720"/>
        </w:tabs>
        <w:spacing w:before="120" w:after="120"/>
        <w:ind w:firstLine="567"/>
        <w:jc w:val="both"/>
        <w:rPr>
          <w:sz w:val="28"/>
          <w:szCs w:val="28"/>
          <w:lang w:val="en-US"/>
        </w:rPr>
      </w:pPr>
      <w:r w:rsidRPr="001F074E">
        <w:rPr>
          <w:sz w:val="28"/>
          <w:szCs w:val="28"/>
          <w:lang w:val="en-US"/>
        </w:rPr>
        <w:t>-</w:t>
      </w:r>
      <w:r>
        <w:rPr>
          <w:sz w:val="28"/>
          <w:szCs w:val="28"/>
          <w:lang w:val="en-US"/>
        </w:rPr>
        <w:t xml:space="preserve"> Kinh ph</w:t>
      </w:r>
      <w:r w:rsidRPr="001F074E">
        <w:rPr>
          <w:sz w:val="28"/>
          <w:szCs w:val="28"/>
          <w:lang w:val="en-US"/>
        </w:rPr>
        <w:t>í</w:t>
      </w:r>
      <w:r>
        <w:rPr>
          <w:sz w:val="28"/>
          <w:szCs w:val="28"/>
          <w:lang w:val="en-US"/>
        </w:rPr>
        <w:t xml:space="preserve"> th</w:t>
      </w:r>
      <w:r w:rsidRPr="001F074E">
        <w:rPr>
          <w:sz w:val="28"/>
          <w:szCs w:val="28"/>
          <w:lang w:val="en-US"/>
        </w:rPr>
        <w:t>ực</w:t>
      </w:r>
      <w:r>
        <w:rPr>
          <w:sz w:val="28"/>
          <w:szCs w:val="28"/>
          <w:lang w:val="en-US"/>
        </w:rPr>
        <w:t xml:space="preserve"> hi</w:t>
      </w:r>
      <w:r w:rsidRPr="001F074E">
        <w:rPr>
          <w:sz w:val="28"/>
          <w:szCs w:val="28"/>
          <w:lang w:val="en-US"/>
        </w:rPr>
        <w:t>ện</w:t>
      </w:r>
      <w:r>
        <w:rPr>
          <w:sz w:val="28"/>
          <w:szCs w:val="28"/>
          <w:lang w:val="en-US"/>
        </w:rPr>
        <w:t xml:space="preserve"> ch</w:t>
      </w:r>
      <w:r w:rsidRPr="001F074E">
        <w:rPr>
          <w:sz w:val="28"/>
          <w:szCs w:val="28"/>
          <w:lang w:val="en-US"/>
        </w:rPr>
        <w:t>ế</w:t>
      </w:r>
      <w:r>
        <w:rPr>
          <w:sz w:val="28"/>
          <w:szCs w:val="28"/>
          <w:lang w:val="en-US"/>
        </w:rPr>
        <w:t xml:space="preserve"> đ</w:t>
      </w:r>
      <w:r w:rsidRPr="001F074E">
        <w:rPr>
          <w:sz w:val="28"/>
          <w:szCs w:val="28"/>
          <w:lang w:val="en-US"/>
        </w:rPr>
        <w:t>ộ</w:t>
      </w:r>
      <w:r>
        <w:rPr>
          <w:sz w:val="28"/>
          <w:szCs w:val="28"/>
          <w:lang w:val="en-US"/>
        </w:rPr>
        <w:t xml:space="preserve"> t</w:t>
      </w:r>
      <w:r w:rsidRPr="001F074E">
        <w:rPr>
          <w:sz w:val="28"/>
          <w:szCs w:val="28"/>
          <w:lang w:val="en-US"/>
        </w:rPr>
        <w:t>ự</w:t>
      </w:r>
      <w:r>
        <w:rPr>
          <w:sz w:val="28"/>
          <w:szCs w:val="28"/>
          <w:lang w:val="en-US"/>
        </w:rPr>
        <w:t xml:space="preserve"> ch</w:t>
      </w:r>
      <w:r w:rsidRPr="001F074E">
        <w:rPr>
          <w:sz w:val="28"/>
          <w:szCs w:val="28"/>
          <w:lang w:val="en-US"/>
        </w:rPr>
        <w:t>ủ</w:t>
      </w:r>
      <w:r w:rsidR="00AD6538">
        <w:rPr>
          <w:sz w:val="28"/>
          <w:szCs w:val="28"/>
          <w:lang w:val="en-US"/>
        </w:rPr>
        <w:t>: Quý II</w:t>
      </w:r>
      <w:r>
        <w:rPr>
          <w:sz w:val="28"/>
          <w:szCs w:val="28"/>
          <w:lang w:val="en-US"/>
        </w:rPr>
        <w:t xml:space="preserve">/2022 </w:t>
      </w:r>
      <w:r w:rsidRPr="00162532">
        <w:rPr>
          <w:sz w:val="28"/>
          <w:szCs w:val="28"/>
          <w:lang w:val="en-US"/>
        </w:rPr>
        <w:t>đã</w:t>
      </w:r>
      <w:r>
        <w:rPr>
          <w:sz w:val="28"/>
          <w:szCs w:val="28"/>
          <w:lang w:val="en-US"/>
        </w:rPr>
        <w:t xml:space="preserve"> chi 2.675 triệu đồng, đạt 26,13% so với dự toán n</w:t>
      </w:r>
      <w:r w:rsidRPr="001F074E">
        <w:rPr>
          <w:sz w:val="28"/>
          <w:szCs w:val="28"/>
          <w:lang w:val="en-US"/>
        </w:rPr>
        <w:t>ă</w:t>
      </w:r>
      <w:r>
        <w:rPr>
          <w:sz w:val="28"/>
          <w:szCs w:val="28"/>
          <w:lang w:val="en-US"/>
        </w:rPr>
        <w:t xml:space="preserve">m và </w:t>
      </w:r>
      <w:r w:rsidR="00BC293D">
        <w:rPr>
          <w:sz w:val="28"/>
          <w:szCs w:val="28"/>
          <w:lang w:val="en-US"/>
        </w:rPr>
        <w:t>bằng 116</w:t>
      </w:r>
      <w:r w:rsidR="00082FD5">
        <w:rPr>
          <w:sz w:val="28"/>
          <w:szCs w:val="28"/>
          <w:lang w:val="en-US"/>
        </w:rPr>
        <w:t>,3</w:t>
      </w:r>
      <w:r>
        <w:rPr>
          <w:sz w:val="28"/>
          <w:szCs w:val="28"/>
          <w:lang w:val="en-US"/>
        </w:rPr>
        <w:t>%  so với cùng kỳ năm 2021, như vậy t</w:t>
      </w:r>
      <w:r w:rsidRPr="006D5616">
        <w:rPr>
          <w:sz w:val="28"/>
          <w:szCs w:val="28"/>
          <w:lang w:val="en-US"/>
        </w:rPr>
        <w:t>ă</w:t>
      </w:r>
      <w:r w:rsidR="00BC293D">
        <w:rPr>
          <w:sz w:val="28"/>
          <w:szCs w:val="28"/>
          <w:lang w:val="en-US"/>
        </w:rPr>
        <w:t>ng 16</w:t>
      </w:r>
      <w:r w:rsidR="00082FD5">
        <w:rPr>
          <w:sz w:val="28"/>
          <w:szCs w:val="28"/>
          <w:lang w:val="en-US"/>
        </w:rPr>
        <w:t>,3</w:t>
      </w:r>
      <w:r>
        <w:rPr>
          <w:sz w:val="28"/>
          <w:szCs w:val="28"/>
          <w:lang w:val="en-US"/>
        </w:rPr>
        <w:t xml:space="preserve">% mức chi so với cùng kỳ năm trước. </w:t>
      </w:r>
    </w:p>
    <w:p w:rsidR="003B2610" w:rsidRDefault="003B2610" w:rsidP="009D2508">
      <w:pPr>
        <w:tabs>
          <w:tab w:val="left" w:pos="720"/>
        </w:tabs>
        <w:spacing w:before="120" w:after="120"/>
        <w:ind w:firstLine="567"/>
        <w:jc w:val="both"/>
        <w:rPr>
          <w:sz w:val="28"/>
          <w:szCs w:val="28"/>
          <w:lang w:val="en-US"/>
        </w:rPr>
      </w:pPr>
      <w:r>
        <w:rPr>
          <w:sz w:val="28"/>
          <w:szCs w:val="28"/>
          <w:lang w:val="en-US"/>
        </w:rPr>
        <w:t>Nguyên nhân t</w:t>
      </w:r>
      <w:r w:rsidRPr="006D5616">
        <w:rPr>
          <w:sz w:val="28"/>
          <w:szCs w:val="28"/>
          <w:lang w:val="en-US"/>
        </w:rPr>
        <w:t>ă</w:t>
      </w:r>
      <w:r>
        <w:rPr>
          <w:sz w:val="28"/>
          <w:szCs w:val="28"/>
          <w:lang w:val="en-US"/>
        </w:rPr>
        <w:t>ng so với cùng kỳ năm 2021: Các khoản thanh toán cho cá nhân từ quỹ tiền lương biên chế tăng như: H</w:t>
      </w:r>
      <w:r w:rsidRPr="00493160">
        <w:rPr>
          <w:sz w:val="28"/>
          <w:szCs w:val="28"/>
          <w:lang w:val="en-US"/>
        </w:rPr>
        <w:t>ệ</w:t>
      </w:r>
      <w:r>
        <w:rPr>
          <w:sz w:val="28"/>
          <w:szCs w:val="28"/>
          <w:lang w:val="en-US"/>
        </w:rPr>
        <w:t xml:space="preserve"> s</w:t>
      </w:r>
      <w:r w:rsidRPr="00493160">
        <w:rPr>
          <w:sz w:val="28"/>
          <w:szCs w:val="28"/>
          <w:lang w:val="en-US"/>
        </w:rPr>
        <w:t>ố</w:t>
      </w:r>
      <w:r>
        <w:rPr>
          <w:sz w:val="28"/>
          <w:szCs w:val="28"/>
          <w:lang w:val="en-US"/>
        </w:rPr>
        <w:t xml:space="preserve"> qu</w:t>
      </w:r>
      <w:r w:rsidRPr="00493160">
        <w:rPr>
          <w:sz w:val="28"/>
          <w:szCs w:val="28"/>
          <w:lang w:val="en-US"/>
        </w:rPr>
        <w:t>ỹ</w:t>
      </w:r>
      <w:r>
        <w:rPr>
          <w:sz w:val="28"/>
          <w:szCs w:val="28"/>
          <w:lang w:val="en-US"/>
        </w:rPr>
        <w:t xml:space="preserve"> ti</w:t>
      </w:r>
      <w:r w:rsidRPr="00493160">
        <w:rPr>
          <w:sz w:val="28"/>
          <w:szCs w:val="28"/>
          <w:lang w:val="en-US"/>
        </w:rPr>
        <w:t>ền</w:t>
      </w:r>
      <w:r>
        <w:rPr>
          <w:sz w:val="28"/>
          <w:szCs w:val="28"/>
          <w:lang w:val="en-US"/>
        </w:rPr>
        <w:t xml:space="preserve"> l</w:t>
      </w:r>
      <w:r w:rsidRPr="00493160">
        <w:rPr>
          <w:sz w:val="28"/>
          <w:szCs w:val="28"/>
          <w:lang w:val="en-US"/>
        </w:rPr>
        <w:t>ươ</w:t>
      </w:r>
      <w:r>
        <w:rPr>
          <w:sz w:val="28"/>
          <w:szCs w:val="28"/>
          <w:lang w:val="en-US"/>
        </w:rPr>
        <w:t>ng bi</w:t>
      </w:r>
      <w:r w:rsidRPr="00493160">
        <w:rPr>
          <w:sz w:val="28"/>
          <w:szCs w:val="28"/>
          <w:lang w:val="en-US"/>
        </w:rPr>
        <w:t>ê</w:t>
      </w:r>
      <w:r>
        <w:rPr>
          <w:sz w:val="28"/>
          <w:szCs w:val="28"/>
          <w:lang w:val="en-US"/>
        </w:rPr>
        <w:t>n ch</w:t>
      </w:r>
      <w:r w:rsidRPr="00493160">
        <w:rPr>
          <w:sz w:val="28"/>
          <w:szCs w:val="28"/>
          <w:lang w:val="en-US"/>
        </w:rPr>
        <w:t>ế</w:t>
      </w:r>
      <w:r>
        <w:rPr>
          <w:sz w:val="28"/>
          <w:szCs w:val="28"/>
          <w:lang w:val="en-US"/>
        </w:rPr>
        <w:t>, h</w:t>
      </w:r>
      <w:r w:rsidRPr="00493160">
        <w:rPr>
          <w:sz w:val="28"/>
          <w:szCs w:val="28"/>
          <w:lang w:val="en-US"/>
        </w:rPr>
        <w:t>ợp</w:t>
      </w:r>
      <w:r>
        <w:rPr>
          <w:sz w:val="28"/>
          <w:szCs w:val="28"/>
          <w:lang w:val="en-US"/>
        </w:rPr>
        <w:t xml:space="preserve"> đ</w:t>
      </w:r>
      <w:r w:rsidRPr="00493160">
        <w:rPr>
          <w:sz w:val="28"/>
          <w:szCs w:val="28"/>
          <w:lang w:val="en-US"/>
        </w:rPr>
        <w:t>ồng</w:t>
      </w:r>
      <w:r>
        <w:rPr>
          <w:sz w:val="28"/>
          <w:szCs w:val="28"/>
          <w:lang w:val="en-US"/>
        </w:rPr>
        <w:t xml:space="preserve"> lao đ</w:t>
      </w:r>
      <w:r w:rsidRPr="00493160">
        <w:rPr>
          <w:sz w:val="28"/>
          <w:szCs w:val="28"/>
          <w:lang w:val="en-US"/>
        </w:rPr>
        <w:t>ộng</w:t>
      </w:r>
      <w:r>
        <w:rPr>
          <w:sz w:val="28"/>
          <w:szCs w:val="28"/>
          <w:lang w:val="en-US"/>
        </w:rPr>
        <w:t xml:space="preserve"> c</w:t>
      </w:r>
      <w:r w:rsidRPr="00493160">
        <w:rPr>
          <w:sz w:val="28"/>
          <w:szCs w:val="28"/>
          <w:lang w:val="en-US"/>
        </w:rPr>
        <w:t>ủa</w:t>
      </w:r>
      <w:r>
        <w:rPr>
          <w:sz w:val="28"/>
          <w:szCs w:val="28"/>
          <w:lang w:val="en-US"/>
        </w:rPr>
        <w:t xml:space="preserve"> qu</w:t>
      </w:r>
      <w:r w:rsidRPr="00493160">
        <w:rPr>
          <w:sz w:val="28"/>
          <w:szCs w:val="28"/>
          <w:lang w:val="en-US"/>
        </w:rPr>
        <w:t>ý</w:t>
      </w:r>
      <w:r>
        <w:rPr>
          <w:sz w:val="28"/>
          <w:szCs w:val="28"/>
          <w:lang w:val="en-US"/>
        </w:rPr>
        <w:t xml:space="preserve"> 2/2022 cao h</w:t>
      </w:r>
      <w:r w:rsidRPr="00493160">
        <w:rPr>
          <w:sz w:val="28"/>
          <w:szCs w:val="28"/>
          <w:lang w:val="en-US"/>
        </w:rPr>
        <w:t>ơ</w:t>
      </w:r>
      <w:r>
        <w:rPr>
          <w:sz w:val="28"/>
          <w:szCs w:val="28"/>
          <w:lang w:val="en-US"/>
        </w:rPr>
        <w:t>n h</w:t>
      </w:r>
      <w:r w:rsidRPr="00493160">
        <w:rPr>
          <w:sz w:val="28"/>
          <w:szCs w:val="28"/>
          <w:lang w:val="en-US"/>
        </w:rPr>
        <w:t>ệ</w:t>
      </w:r>
      <w:r>
        <w:rPr>
          <w:sz w:val="28"/>
          <w:szCs w:val="28"/>
          <w:lang w:val="en-US"/>
        </w:rPr>
        <w:t xml:space="preserve"> s</w:t>
      </w:r>
      <w:r w:rsidRPr="00493160">
        <w:rPr>
          <w:sz w:val="28"/>
          <w:szCs w:val="28"/>
          <w:lang w:val="en-US"/>
        </w:rPr>
        <w:t>ố</w:t>
      </w:r>
      <w:r>
        <w:rPr>
          <w:sz w:val="28"/>
          <w:szCs w:val="28"/>
          <w:lang w:val="en-US"/>
        </w:rPr>
        <w:t xml:space="preserve"> ti</w:t>
      </w:r>
      <w:r w:rsidRPr="00493160">
        <w:rPr>
          <w:sz w:val="28"/>
          <w:szCs w:val="28"/>
          <w:lang w:val="en-US"/>
        </w:rPr>
        <w:t>ền</w:t>
      </w:r>
      <w:r>
        <w:rPr>
          <w:sz w:val="28"/>
          <w:szCs w:val="28"/>
          <w:lang w:val="en-US"/>
        </w:rPr>
        <w:t xml:space="preserve"> l</w:t>
      </w:r>
      <w:r w:rsidRPr="00493160">
        <w:rPr>
          <w:sz w:val="28"/>
          <w:szCs w:val="28"/>
          <w:lang w:val="en-US"/>
        </w:rPr>
        <w:t>ươ</w:t>
      </w:r>
      <w:r>
        <w:rPr>
          <w:sz w:val="28"/>
          <w:szCs w:val="28"/>
          <w:lang w:val="en-US"/>
        </w:rPr>
        <w:t>ng qu</w:t>
      </w:r>
      <w:r w:rsidRPr="00493160">
        <w:rPr>
          <w:sz w:val="28"/>
          <w:szCs w:val="28"/>
          <w:lang w:val="en-US"/>
        </w:rPr>
        <w:t>ý</w:t>
      </w:r>
      <w:r>
        <w:rPr>
          <w:sz w:val="28"/>
          <w:szCs w:val="28"/>
          <w:lang w:val="en-US"/>
        </w:rPr>
        <w:t xml:space="preserve"> 2/2021 do quý 2/22 tăng mới 07 công chức biên chế mới tuyển dụng và phát sinh chi phí thanh toán trợ cấp thôi việc cho công chức xin nghỉ việc. Đồng thời, các nhiệm vụ chi thường xuyên năm 2022 so với cùng kỳ năm trước cũng cao hơn vì nhiệm vụ chi bảo vệ Trụ sở Ban quản lý được bố trí chi giải ngân từ kinh phí chi thường xuyên (năm 2021 trở về trước được chi từ nguồn kinh phí không tự chủ).</w:t>
      </w:r>
    </w:p>
    <w:p w:rsidR="003B2610" w:rsidRDefault="003B2610" w:rsidP="009D2508">
      <w:pPr>
        <w:tabs>
          <w:tab w:val="left" w:pos="720"/>
        </w:tabs>
        <w:spacing w:before="120" w:after="120"/>
        <w:ind w:firstLine="567"/>
        <w:jc w:val="both"/>
        <w:rPr>
          <w:sz w:val="28"/>
          <w:szCs w:val="28"/>
          <w:lang w:val="en-US"/>
        </w:rPr>
      </w:pPr>
      <w:r>
        <w:rPr>
          <w:sz w:val="28"/>
          <w:szCs w:val="28"/>
          <w:lang w:val="en-US"/>
        </w:rPr>
        <w:t>- Kinh ph</w:t>
      </w:r>
      <w:r w:rsidRPr="003C13E9">
        <w:rPr>
          <w:sz w:val="28"/>
          <w:szCs w:val="28"/>
          <w:lang w:val="en-US"/>
        </w:rPr>
        <w:t>í</w:t>
      </w:r>
      <w:r>
        <w:rPr>
          <w:sz w:val="28"/>
          <w:szCs w:val="28"/>
          <w:lang w:val="en-US"/>
        </w:rPr>
        <w:t xml:space="preserve"> th</w:t>
      </w:r>
      <w:r w:rsidRPr="003C13E9">
        <w:rPr>
          <w:sz w:val="28"/>
          <w:szCs w:val="28"/>
          <w:lang w:val="en-US"/>
        </w:rPr>
        <w:t>ực</w:t>
      </w:r>
      <w:r>
        <w:rPr>
          <w:sz w:val="28"/>
          <w:szCs w:val="28"/>
          <w:lang w:val="en-US"/>
        </w:rPr>
        <w:t xml:space="preserve"> hi</w:t>
      </w:r>
      <w:r w:rsidRPr="003C13E9">
        <w:rPr>
          <w:sz w:val="28"/>
          <w:szCs w:val="28"/>
          <w:lang w:val="en-US"/>
        </w:rPr>
        <w:t>ện</w:t>
      </w:r>
      <w:r>
        <w:rPr>
          <w:sz w:val="28"/>
          <w:szCs w:val="28"/>
          <w:lang w:val="en-US"/>
        </w:rPr>
        <w:t xml:space="preserve"> ch</w:t>
      </w:r>
      <w:r w:rsidRPr="003C13E9">
        <w:rPr>
          <w:sz w:val="28"/>
          <w:szCs w:val="28"/>
          <w:lang w:val="en-US"/>
        </w:rPr>
        <w:t>ế</w:t>
      </w:r>
      <w:r>
        <w:rPr>
          <w:sz w:val="28"/>
          <w:szCs w:val="28"/>
          <w:lang w:val="en-US"/>
        </w:rPr>
        <w:t xml:space="preserve"> đ</w:t>
      </w:r>
      <w:r w:rsidRPr="003C13E9">
        <w:rPr>
          <w:sz w:val="28"/>
          <w:szCs w:val="28"/>
          <w:lang w:val="en-US"/>
        </w:rPr>
        <w:t>ộ</w:t>
      </w:r>
      <w:r>
        <w:rPr>
          <w:sz w:val="28"/>
          <w:szCs w:val="28"/>
          <w:lang w:val="en-US"/>
        </w:rPr>
        <w:t xml:space="preserve"> kh</w:t>
      </w:r>
      <w:r w:rsidRPr="003C13E9">
        <w:rPr>
          <w:sz w:val="28"/>
          <w:szCs w:val="28"/>
          <w:lang w:val="en-US"/>
        </w:rPr>
        <w:t>ô</w:t>
      </w:r>
      <w:r>
        <w:rPr>
          <w:sz w:val="28"/>
          <w:szCs w:val="28"/>
          <w:lang w:val="en-US"/>
        </w:rPr>
        <w:t>ng t</w:t>
      </w:r>
      <w:r w:rsidRPr="003C13E9">
        <w:rPr>
          <w:sz w:val="28"/>
          <w:szCs w:val="28"/>
          <w:lang w:val="en-US"/>
        </w:rPr>
        <w:t>ự</w:t>
      </w:r>
      <w:r>
        <w:rPr>
          <w:sz w:val="28"/>
          <w:szCs w:val="28"/>
          <w:lang w:val="en-US"/>
        </w:rPr>
        <w:t xml:space="preserve"> ch</w:t>
      </w:r>
      <w:r w:rsidRPr="003C13E9">
        <w:rPr>
          <w:sz w:val="28"/>
          <w:szCs w:val="28"/>
          <w:lang w:val="en-US"/>
        </w:rPr>
        <w:t>ủ</w:t>
      </w:r>
      <w:r w:rsidR="0001580B">
        <w:rPr>
          <w:sz w:val="28"/>
          <w:szCs w:val="28"/>
          <w:lang w:val="en-US"/>
        </w:rPr>
        <w:t>: Quý II</w:t>
      </w:r>
      <w:r>
        <w:rPr>
          <w:sz w:val="28"/>
          <w:szCs w:val="28"/>
          <w:lang w:val="en-US"/>
        </w:rPr>
        <w:t>/2022 thực hiện giải ngân 83 triệu đồng, đạt 2</w:t>
      </w:r>
      <w:r w:rsidR="0001580B">
        <w:rPr>
          <w:sz w:val="28"/>
          <w:szCs w:val="28"/>
          <w:lang w:val="en-US"/>
        </w:rPr>
        <w:t>,</w:t>
      </w:r>
      <w:r>
        <w:rPr>
          <w:sz w:val="28"/>
          <w:szCs w:val="28"/>
          <w:lang w:val="en-US"/>
        </w:rPr>
        <w:t>87% so với dự toán năm và bằng 1</w:t>
      </w:r>
      <w:r w:rsidR="00082FD5">
        <w:rPr>
          <w:sz w:val="28"/>
          <w:szCs w:val="28"/>
          <w:lang w:val="en-US"/>
        </w:rPr>
        <w:t>0,57</w:t>
      </w:r>
      <w:r>
        <w:rPr>
          <w:sz w:val="28"/>
          <w:szCs w:val="28"/>
          <w:lang w:val="en-US"/>
        </w:rPr>
        <w:t>% so với cùng k</w:t>
      </w:r>
      <w:r w:rsidR="0001580B">
        <w:rPr>
          <w:sz w:val="28"/>
          <w:szCs w:val="28"/>
          <w:lang w:val="en-US"/>
        </w:rPr>
        <w:t>ỳ năm trước. Như vậy, giảm 89</w:t>
      </w:r>
      <w:r w:rsidR="00082FD5">
        <w:rPr>
          <w:sz w:val="28"/>
          <w:szCs w:val="28"/>
          <w:lang w:val="en-US"/>
        </w:rPr>
        <w:t>,43</w:t>
      </w:r>
      <w:r>
        <w:rPr>
          <w:sz w:val="28"/>
          <w:szCs w:val="28"/>
          <w:lang w:val="en-US"/>
        </w:rPr>
        <w:t>% mức chi so với cùng kỳ năm trước.</w:t>
      </w:r>
    </w:p>
    <w:p w:rsidR="003B2610" w:rsidRDefault="003B2610" w:rsidP="009D2508">
      <w:pPr>
        <w:tabs>
          <w:tab w:val="left" w:pos="720"/>
        </w:tabs>
        <w:spacing w:before="120" w:after="120"/>
        <w:ind w:firstLine="567"/>
        <w:jc w:val="both"/>
        <w:rPr>
          <w:sz w:val="28"/>
          <w:szCs w:val="28"/>
          <w:lang w:val="en-US"/>
        </w:rPr>
      </w:pPr>
      <w:r>
        <w:rPr>
          <w:sz w:val="28"/>
          <w:szCs w:val="28"/>
          <w:lang w:val="en-US"/>
        </w:rPr>
        <w:t>Nguyên nhân giảm so với cùng kỳ năm 2021: Năm 2022 nhiệm vụ thuê bảo vệ Trụ sở ban quản lý Khu CNC Hòa Lạc không được giao dự toán từ nguồn quản lý hành chính – không tự chủ nên không thực hiện giải ngân. Đồng thời, nhiệm vụ thuê bảo vệ chuyên nghiệp để bảo vệ Khu CNC Hòa Lạc chưa lựa chọn được nhà thầu trong quý 2/22 nên tạm thời công tác bảo vệ Khu CNC Hòa Lạc do các Công ty phát triển hạ tầng Khu CNC Hòa Lạc hỗ trợ kinh phí thực hiện và chưa thực hiện giải ngân kinh phí.</w:t>
      </w:r>
    </w:p>
    <w:p w:rsidR="003B2610" w:rsidRDefault="001A3533" w:rsidP="009D2508">
      <w:pPr>
        <w:tabs>
          <w:tab w:val="left" w:pos="720"/>
        </w:tabs>
        <w:spacing w:before="120" w:after="120"/>
        <w:ind w:firstLine="567"/>
        <w:jc w:val="both"/>
        <w:rPr>
          <w:b/>
          <w:sz w:val="28"/>
          <w:szCs w:val="28"/>
          <w:lang w:val="en-US"/>
        </w:rPr>
      </w:pPr>
      <w:r w:rsidRPr="008B283C">
        <w:rPr>
          <w:b/>
          <w:sz w:val="28"/>
          <w:szCs w:val="28"/>
          <w:lang w:val="en-US"/>
        </w:rPr>
        <w:t xml:space="preserve">2. </w:t>
      </w:r>
      <w:r w:rsidR="009F6F6D" w:rsidRPr="008B283C">
        <w:rPr>
          <w:b/>
          <w:sz w:val="28"/>
          <w:szCs w:val="28"/>
          <w:lang w:val="en-US"/>
        </w:rPr>
        <w:t>Chi Nghiên</w:t>
      </w:r>
      <w:r w:rsidR="009F6F6D" w:rsidRPr="005F19EA">
        <w:rPr>
          <w:b/>
          <w:sz w:val="28"/>
          <w:szCs w:val="28"/>
          <w:lang w:val="en-US"/>
        </w:rPr>
        <w:t xml:space="preserve"> cứu khoa học</w:t>
      </w:r>
      <w:r w:rsidR="009F6F6D" w:rsidRPr="008B283C">
        <w:rPr>
          <w:b/>
          <w:sz w:val="28"/>
          <w:szCs w:val="28"/>
          <w:lang w:val="en-US"/>
        </w:rPr>
        <w:t>:</w:t>
      </w:r>
    </w:p>
    <w:p w:rsidR="003B2610" w:rsidRDefault="003B2610" w:rsidP="009D2508">
      <w:pPr>
        <w:tabs>
          <w:tab w:val="left" w:pos="720"/>
        </w:tabs>
        <w:spacing w:before="120" w:after="120"/>
        <w:ind w:firstLine="567"/>
        <w:jc w:val="both"/>
        <w:rPr>
          <w:sz w:val="28"/>
          <w:szCs w:val="28"/>
          <w:lang w:val="en-US"/>
        </w:rPr>
      </w:pPr>
      <w:r>
        <w:rPr>
          <w:sz w:val="28"/>
          <w:szCs w:val="28"/>
          <w:lang w:val="en-US"/>
        </w:rPr>
        <w:t>Qu</w:t>
      </w:r>
      <w:r w:rsidRPr="00450192">
        <w:rPr>
          <w:sz w:val="28"/>
          <w:szCs w:val="28"/>
          <w:lang w:val="en-US"/>
        </w:rPr>
        <w:t>ý</w:t>
      </w:r>
      <w:r w:rsidR="0001580B">
        <w:rPr>
          <w:sz w:val="28"/>
          <w:szCs w:val="28"/>
          <w:lang w:val="en-US"/>
        </w:rPr>
        <w:t xml:space="preserve"> II</w:t>
      </w:r>
      <w:r>
        <w:rPr>
          <w:sz w:val="28"/>
          <w:szCs w:val="28"/>
          <w:lang w:val="en-US"/>
        </w:rPr>
        <w:t xml:space="preserve">/2022 </w:t>
      </w:r>
      <w:r w:rsidRPr="00450192">
        <w:rPr>
          <w:sz w:val="28"/>
          <w:szCs w:val="28"/>
          <w:lang w:val="en-US"/>
        </w:rPr>
        <w:t>đã</w:t>
      </w:r>
      <w:r w:rsidR="0001580B">
        <w:rPr>
          <w:sz w:val="28"/>
          <w:szCs w:val="28"/>
          <w:lang w:val="en-US"/>
        </w:rPr>
        <w:t xml:space="preserve"> chi 6,8 triệu đồng, đạt 0,87</w:t>
      </w:r>
      <w:r>
        <w:rPr>
          <w:sz w:val="28"/>
          <w:szCs w:val="28"/>
          <w:lang w:val="en-US"/>
        </w:rPr>
        <w:t>% so với dự toán, bằng 8,34% so với cùng kỳ năm trước, nh</w:t>
      </w:r>
      <w:r w:rsidRPr="00450192">
        <w:rPr>
          <w:sz w:val="28"/>
          <w:szCs w:val="28"/>
          <w:lang w:val="en-US"/>
        </w:rPr>
        <w:t>ư</w:t>
      </w:r>
      <w:r>
        <w:rPr>
          <w:sz w:val="28"/>
          <w:szCs w:val="28"/>
          <w:lang w:val="en-US"/>
        </w:rPr>
        <w:t xml:space="preserve"> v</w:t>
      </w:r>
      <w:r w:rsidRPr="00450192">
        <w:rPr>
          <w:sz w:val="28"/>
          <w:szCs w:val="28"/>
          <w:lang w:val="en-US"/>
        </w:rPr>
        <w:t>ậy</w:t>
      </w:r>
      <w:r>
        <w:rPr>
          <w:sz w:val="28"/>
          <w:szCs w:val="28"/>
          <w:lang w:val="en-US"/>
        </w:rPr>
        <w:t xml:space="preserve"> giảm 91,66% so với cùng kỳ.</w:t>
      </w:r>
    </w:p>
    <w:p w:rsidR="003B2610" w:rsidRDefault="003B2610" w:rsidP="009D2508">
      <w:pPr>
        <w:tabs>
          <w:tab w:val="left" w:pos="720"/>
        </w:tabs>
        <w:spacing w:before="120" w:after="120"/>
        <w:ind w:firstLine="567"/>
        <w:jc w:val="both"/>
        <w:rPr>
          <w:sz w:val="28"/>
          <w:szCs w:val="28"/>
          <w:lang w:val="en-US"/>
        </w:rPr>
      </w:pPr>
      <w:r>
        <w:rPr>
          <w:sz w:val="28"/>
          <w:szCs w:val="28"/>
          <w:lang w:val="en-US"/>
        </w:rPr>
        <w:t>Nguyên nhân giảm: Năm 2022 kinh ph</w:t>
      </w:r>
      <w:r w:rsidRPr="00263ECA">
        <w:rPr>
          <w:sz w:val="28"/>
          <w:szCs w:val="28"/>
          <w:lang w:val="en-US"/>
        </w:rPr>
        <w:t>í</w:t>
      </w:r>
      <w:r>
        <w:rPr>
          <w:sz w:val="28"/>
          <w:szCs w:val="28"/>
          <w:lang w:val="en-US"/>
        </w:rPr>
        <w:t xml:space="preserve"> b</w:t>
      </w:r>
      <w:r w:rsidRPr="00263ECA">
        <w:rPr>
          <w:sz w:val="28"/>
          <w:szCs w:val="28"/>
          <w:lang w:val="en-US"/>
        </w:rPr>
        <w:t>ố</w:t>
      </w:r>
      <w:r>
        <w:rPr>
          <w:sz w:val="28"/>
          <w:szCs w:val="28"/>
          <w:lang w:val="en-US"/>
        </w:rPr>
        <w:t xml:space="preserve"> tr</w:t>
      </w:r>
      <w:r w:rsidRPr="00263ECA">
        <w:rPr>
          <w:sz w:val="28"/>
          <w:szCs w:val="28"/>
          <w:lang w:val="en-US"/>
        </w:rPr>
        <w:t>í</w:t>
      </w:r>
      <w:r>
        <w:rPr>
          <w:sz w:val="28"/>
          <w:szCs w:val="28"/>
          <w:lang w:val="en-US"/>
        </w:rPr>
        <w:t xml:space="preserve"> chi cho nhi</w:t>
      </w:r>
      <w:r w:rsidRPr="00263ECA">
        <w:rPr>
          <w:sz w:val="28"/>
          <w:szCs w:val="28"/>
          <w:lang w:val="en-US"/>
        </w:rPr>
        <w:t>ệm</w:t>
      </w:r>
      <w:r>
        <w:rPr>
          <w:sz w:val="28"/>
          <w:szCs w:val="28"/>
          <w:lang w:val="en-US"/>
        </w:rPr>
        <w:t xml:space="preserve"> v</w:t>
      </w:r>
      <w:r w:rsidRPr="00263ECA">
        <w:rPr>
          <w:sz w:val="28"/>
          <w:szCs w:val="28"/>
          <w:lang w:val="en-US"/>
        </w:rPr>
        <w:t>ụ</w:t>
      </w:r>
      <w:r>
        <w:rPr>
          <w:sz w:val="28"/>
          <w:szCs w:val="28"/>
          <w:lang w:val="en-US"/>
        </w:rPr>
        <w:t xml:space="preserve"> chi s</w:t>
      </w:r>
      <w:r w:rsidRPr="00057A33">
        <w:rPr>
          <w:sz w:val="28"/>
          <w:szCs w:val="28"/>
          <w:lang w:val="en-US"/>
        </w:rPr>
        <w:t>ự</w:t>
      </w:r>
      <w:r>
        <w:rPr>
          <w:sz w:val="28"/>
          <w:szCs w:val="28"/>
          <w:lang w:val="en-US"/>
        </w:rPr>
        <w:t xml:space="preserve"> nghi</w:t>
      </w:r>
      <w:r w:rsidRPr="00057A33">
        <w:rPr>
          <w:sz w:val="28"/>
          <w:szCs w:val="28"/>
          <w:lang w:val="en-US"/>
        </w:rPr>
        <w:t>ệp</w:t>
      </w:r>
      <w:r>
        <w:rPr>
          <w:sz w:val="28"/>
          <w:szCs w:val="28"/>
          <w:lang w:val="en-US"/>
        </w:rPr>
        <w:t xml:space="preserve"> khoa h</w:t>
      </w:r>
      <w:r w:rsidRPr="00057A33">
        <w:rPr>
          <w:sz w:val="28"/>
          <w:szCs w:val="28"/>
          <w:lang w:val="en-US"/>
        </w:rPr>
        <w:t>ọc</w:t>
      </w:r>
      <w:r>
        <w:rPr>
          <w:sz w:val="28"/>
          <w:szCs w:val="28"/>
          <w:lang w:val="en-US"/>
        </w:rPr>
        <w:t xml:space="preserve"> gi</w:t>
      </w:r>
      <w:r w:rsidRPr="00AB259F">
        <w:rPr>
          <w:sz w:val="28"/>
          <w:szCs w:val="28"/>
          <w:lang w:val="en-US"/>
        </w:rPr>
        <w:t>ảm</w:t>
      </w:r>
      <w:r>
        <w:rPr>
          <w:sz w:val="28"/>
          <w:szCs w:val="28"/>
          <w:lang w:val="en-US"/>
        </w:rPr>
        <w:t xml:space="preserve"> so v</w:t>
      </w:r>
      <w:r w:rsidRPr="00E0764E">
        <w:rPr>
          <w:sz w:val="28"/>
          <w:szCs w:val="28"/>
          <w:lang w:val="en-US"/>
        </w:rPr>
        <w:t>ới</w:t>
      </w:r>
      <w:r>
        <w:rPr>
          <w:sz w:val="28"/>
          <w:szCs w:val="28"/>
          <w:lang w:val="en-US"/>
        </w:rPr>
        <w:t xml:space="preserve"> n</w:t>
      </w:r>
      <w:r w:rsidRPr="00E0764E">
        <w:rPr>
          <w:sz w:val="28"/>
          <w:szCs w:val="28"/>
          <w:lang w:val="en-US"/>
        </w:rPr>
        <w:t>ă</w:t>
      </w:r>
      <w:r>
        <w:rPr>
          <w:sz w:val="28"/>
          <w:szCs w:val="28"/>
          <w:lang w:val="en-US"/>
        </w:rPr>
        <w:t>m 2021 l</w:t>
      </w:r>
      <w:r w:rsidRPr="00E0764E">
        <w:rPr>
          <w:sz w:val="28"/>
          <w:szCs w:val="28"/>
          <w:lang w:val="en-US"/>
        </w:rPr>
        <w:t>à</w:t>
      </w:r>
      <w:r>
        <w:rPr>
          <w:sz w:val="28"/>
          <w:szCs w:val="28"/>
          <w:lang w:val="en-US"/>
        </w:rPr>
        <w:t xml:space="preserve"> 990 tri</w:t>
      </w:r>
      <w:r w:rsidRPr="00E0764E">
        <w:rPr>
          <w:sz w:val="28"/>
          <w:szCs w:val="28"/>
          <w:lang w:val="en-US"/>
        </w:rPr>
        <w:t>ệu</w:t>
      </w:r>
      <w:r>
        <w:rPr>
          <w:sz w:val="28"/>
          <w:szCs w:val="28"/>
          <w:lang w:val="en-US"/>
        </w:rPr>
        <w:t xml:space="preserve"> đ</w:t>
      </w:r>
      <w:r w:rsidRPr="00E0764E">
        <w:rPr>
          <w:sz w:val="28"/>
          <w:szCs w:val="28"/>
          <w:lang w:val="en-US"/>
        </w:rPr>
        <w:t>ồng</w:t>
      </w:r>
      <w:r>
        <w:rPr>
          <w:sz w:val="28"/>
          <w:szCs w:val="28"/>
          <w:lang w:val="en-US"/>
        </w:rPr>
        <w:t xml:space="preserve">, trong đó nhiệm vụ </w:t>
      </w:r>
      <w:r w:rsidRPr="00AB259F">
        <w:rPr>
          <w:sz w:val="28"/>
          <w:szCs w:val="28"/>
          <w:lang w:val="en-US"/>
        </w:rPr>
        <w:t>duy tr</w:t>
      </w:r>
      <w:r>
        <w:rPr>
          <w:sz w:val="28"/>
          <w:szCs w:val="28"/>
          <w:lang w:val="en-US"/>
        </w:rPr>
        <w:t>ì</w:t>
      </w:r>
      <w:r w:rsidRPr="00AB259F">
        <w:rPr>
          <w:sz w:val="28"/>
          <w:szCs w:val="28"/>
          <w:lang w:val="en-US"/>
        </w:rPr>
        <w:t xml:space="preserve">, </w:t>
      </w:r>
      <w:r>
        <w:rPr>
          <w:sz w:val="28"/>
          <w:szCs w:val="28"/>
          <w:lang w:val="en-US"/>
        </w:rPr>
        <w:t xml:space="preserve">đảm bảo hệ thống công nghệ thông tin của Ban quản lý </w:t>
      </w:r>
      <w:r w:rsidRPr="00AB259F">
        <w:rPr>
          <w:sz w:val="28"/>
          <w:szCs w:val="28"/>
          <w:lang w:val="en-US"/>
        </w:rPr>
        <w:t>đã</w:t>
      </w:r>
      <w:r>
        <w:rPr>
          <w:sz w:val="28"/>
          <w:szCs w:val="28"/>
          <w:lang w:val="en-US"/>
        </w:rPr>
        <w:t xml:space="preserve"> th</w:t>
      </w:r>
      <w:r w:rsidRPr="00AB259F">
        <w:rPr>
          <w:sz w:val="28"/>
          <w:szCs w:val="28"/>
          <w:lang w:val="en-US"/>
        </w:rPr>
        <w:t>ự</w:t>
      </w:r>
      <w:r>
        <w:rPr>
          <w:sz w:val="28"/>
          <w:szCs w:val="28"/>
          <w:lang w:val="en-US"/>
        </w:rPr>
        <w:t>c hi</w:t>
      </w:r>
      <w:r w:rsidRPr="00AB259F">
        <w:rPr>
          <w:sz w:val="28"/>
          <w:szCs w:val="28"/>
          <w:lang w:val="en-US"/>
        </w:rPr>
        <w:t>ện</w:t>
      </w:r>
      <w:r>
        <w:rPr>
          <w:sz w:val="28"/>
          <w:szCs w:val="28"/>
          <w:lang w:val="en-US"/>
        </w:rPr>
        <w:t xml:space="preserve"> giải ngân trong quý 1/22 để duy trì cho cả năm nên các tháng tiếp theo không phát sinh giải ngân kinh phí.</w:t>
      </w:r>
    </w:p>
    <w:p w:rsidR="00FE161F" w:rsidRDefault="00FE161F" w:rsidP="009D2508">
      <w:pPr>
        <w:tabs>
          <w:tab w:val="left" w:pos="720"/>
        </w:tabs>
        <w:spacing w:before="120"/>
        <w:ind w:firstLine="567"/>
        <w:jc w:val="both"/>
        <w:rPr>
          <w:b/>
          <w:sz w:val="28"/>
          <w:szCs w:val="28"/>
          <w:lang w:val="en-US"/>
        </w:rPr>
      </w:pPr>
    </w:p>
    <w:p w:rsidR="00450192" w:rsidRDefault="001A3533" w:rsidP="009D2508">
      <w:pPr>
        <w:tabs>
          <w:tab w:val="left" w:pos="720"/>
        </w:tabs>
        <w:spacing w:before="120"/>
        <w:ind w:firstLine="567"/>
        <w:jc w:val="both"/>
        <w:rPr>
          <w:sz w:val="28"/>
          <w:szCs w:val="28"/>
          <w:lang w:val="en-US"/>
        </w:rPr>
      </w:pPr>
      <w:r w:rsidRPr="008B283C">
        <w:rPr>
          <w:b/>
          <w:sz w:val="28"/>
          <w:szCs w:val="28"/>
          <w:lang w:val="en-US"/>
        </w:rPr>
        <w:lastRenderedPageBreak/>
        <w:t xml:space="preserve">3. </w:t>
      </w:r>
      <w:r w:rsidR="005360F6" w:rsidRPr="008B283C">
        <w:rPr>
          <w:b/>
          <w:sz w:val="28"/>
          <w:szCs w:val="28"/>
          <w:lang w:val="en-US"/>
        </w:rPr>
        <w:t>Chi</w:t>
      </w:r>
      <w:r w:rsidR="00D60965">
        <w:rPr>
          <w:b/>
          <w:sz w:val="28"/>
          <w:szCs w:val="28"/>
          <w:lang w:val="en-US"/>
        </w:rPr>
        <w:t xml:space="preserve"> H</w:t>
      </w:r>
      <w:r w:rsidR="005360F6" w:rsidRPr="002748EE">
        <w:rPr>
          <w:b/>
          <w:sz w:val="28"/>
          <w:szCs w:val="28"/>
          <w:lang w:val="en-US"/>
        </w:rPr>
        <w:t xml:space="preserve">oạt động </w:t>
      </w:r>
      <w:r w:rsidR="005360F6" w:rsidRPr="008B283C">
        <w:rPr>
          <w:b/>
          <w:sz w:val="28"/>
          <w:szCs w:val="28"/>
          <w:lang w:val="en-US"/>
        </w:rPr>
        <w:t>kinh tế</w:t>
      </w:r>
      <w:r w:rsidR="005F19EA" w:rsidRPr="008B283C">
        <w:rPr>
          <w:b/>
          <w:sz w:val="28"/>
          <w:szCs w:val="28"/>
          <w:lang w:val="en-US"/>
        </w:rPr>
        <w:t>:</w:t>
      </w:r>
      <w:r w:rsidR="005F19EA">
        <w:rPr>
          <w:sz w:val="28"/>
          <w:szCs w:val="28"/>
          <w:lang w:val="en-US"/>
        </w:rPr>
        <w:t xml:space="preserve"> </w:t>
      </w:r>
    </w:p>
    <w:p w:rsidR="003B2610" w:rsidRDefault="003B2610" w:rsidP="009D2508">
      <w:pPr>
        <w:tabs>
          <w:tab w:val="left" w:pos="720"/>
        </w:tabs>
        <w:spacing w:before="120" w:after="120"/>
        <w:ind w:firstLine="567"/>
        <w:jc w:val="both"/>
        <w:rPr>
          <w:sz w:val="28"/>
          <w:szCs w:val="28"/>
          <w:lang w:val="en-US"/>
        </w:rPr>
      </w:pPr>
      <w:r>
        <w:rPr>
          <w:sz w:val="28"/>
          <w:szCs w:val="28"/>
          <w:lang w:val="en-US"/>
        </w:rPr>
        <w:t>Qu</w:t>
      </w:r>
      <w:r w:rsidRPr="00450192">
        <w:rPr>
          <w:sz w:val="28"/>
          <w:szCs w:val="28"/>
          <w:lang w:val="en-US"/>
        </w:rPr>
        <w:t>ý</w:t>
      </w:r>
      <w:r w:rsidR="00082FD5">
        <w:rPr>
          <w:sz w:val="28"/>
          <w:szCs w:val="28"/>
          <w:lang w:val="en-US"/>
        </w:rPr>
        <w:t xml:space="preserve"> II</w:t>
      </w:r>
      <w:r>
        <w:rPr>
          <w:sz w:val="28"/>
          <w:szCs w:val="28"/>
          <w:lang w:val="en-US"/>
        </w:rPr>
        <w:t xml:space="preserve">/2022 </w:t>
      </w:r>
      <w:r w:rsidRPr="00450192">
        <w:rPr>
          <w:sz w:val="28"/>
          <w:szCs w:val="28"/>
          <w:lang w:val="en-US"/>
        </w:rPr>
        <w:t>đã</w:t>
      </w:r>
      <w:r>
        <w:rPr>
          <w:sz w:val="28"/>
          <w:szCs w:val="28"/>
          <w:lang w:val="en-US"/>
        </w:rPr>
        <w:t xml:space="preserve"> chi 683,4 triệu đồng, đạt 87,6</w:t>
      </w:r>
      <w:r w:rsidR="00082FD5">
        <w:rPr>
          <w:sz w:val="28"/>
          <w:szCs w:val="28"/>
          <w:lang w:val="en-US"/>
        </w:rPr>
        <w:t>2</w:t>
      </w:r>
      <w:r>
        <w:rPr>
          <w:sz w:val="28"/>
          <w:szCs w:val="28"/>
          <w:lang w:val="en-US"/>
        </w:rPr>
        <w:t>% so với dự toán, bằng 923,51% so với cùng kỳ năm trước, nh</w:t>
      </w:r>
      <w:r w:rsidRPr="00450192">
        <w:rPr>
          <w:sz w:val="28"/>
          <w:szCs w:val="28"/>
          <w:lang w:val="en-US"/>
        </w:rPr>
        <w:t>ư</w:t>
      </w:r>
      <w:r>
        <w:rPr>
          <w:sz w:val="28"/>
          <w:szCs w:val="28"/>
          <w:lang w:val="en-US"/>
        </w:rPr>
        <w:t xml:space="preserve"> v</w:t>
      </w:r>
      <w:r w:rsidRPr="00450192">
        <w:rPr>
          <w:sz w:val="28"/>
          <w:szCs w:val="28"/>
          <w:lang w:val="en-US"/>
        </w:rPr>
        <w:t>ậy</w:t>
      </w:r>
      <w:r>
        <w:rPr>
          <w:sz w:val="28"/>
          <w:szCs w:val="28"/>
          <w:lang w:val="en-US"/>
        </w:rPr>
        <w:t xml:space="preserve"> tăng 823,51% so với cùng kỳ.</w:t>
      </w:r>
    </w:p>
    <w:p w:rsidR="003B2610" w:rsidRDefault="003B2610" w:rsidP="009D2508">
      <w:pPr>
        <w:tabs>
          <w:tab w:val="left" w:pos="720"/>
        </w:tabs>
        <w:spacing w:before="120" w:after="120"/>
        <w:ind w:firstLine="567"/>
        <w:jc w:val="both"/>
        <w:rPr>
          <w:sz w:val="28"/>
          <w:szCs w:val="28"/>
          <w:lang w:val="en-US"/>
        </w:rPr>
      </w:pPr>
      <w:r>
        <w:rPr>
          <w:sz w:val="28"/>
          <w:szCs w:val="28"/>
          <w:lang w:val="en-US"/>
        </w:rPr>
        <w:t>Nguyên nhân tăng: Mặc dù, năm 2022 kinh ph</w:t>
      </w:r>
      <w:r w:rsidRPr="00263ECA">
        <w:rPr>
          <w:sz w:val="28"/>
          <w:szCs w:val="28"/>
          <w:lang w:val="en-US"/>
        </w:rPr>
        <w:t>í</w:t>
      </w:r>
      <w:r>
        <w:rPr>
          <w:sz w:val="28"/>
          <w:szCs w:val="28"/>
          <w:lang w:val="en-US"/>
        </w:rPr>
        <w:t xml:space="preserve"> b</w:t>
      </w:r>
      <w:r w:rsidRPr="00263ECA">
        <w:rPr>
          <w:sz w:val="28"/>
          <w:szCs w:val="28"/>
          <w:lang w:val="en-US"/>
        </w:rPr>
        <w:t>ố</w:t>
      </w:r>
      <w:r>
        <w:rPr>
          <w:sz w:val="28"/>
          <w:szCs w:val="28"/>
          <w:lang w:val="en-US"/>
        </w:rPr>
        <w:t xml:space="preserve"> tr</w:t>
      </w:r>
      <w:r w:rsidRPr="00263ECA">
        <w:rPr>
          <w:sz w:val="28"/>
          <w:szCs w:val="28"/>
          <w:lang w:val="en-US"/>
        </w:rPr>
        <w:t>í</w:t>
      </w:r>
      <w:r>
        <w:rPr>
          <w:sz w:val="28"/>
          <w:szCs w:val="28"/>
          <w:lang w:val="en-US"/>
        </w:rPr>
        <w:t xml:space="preserve"> chi cho các nhiệm vụ về Duy tu bảo dưỡng CSHT Khu CNC Hòa Lạc và vận hành nhà máy xử lý nước thải giảm so với năm 2021 là 5.555 triệu đồng. Nguồn kinh phí được giao cho duy tu bảo dưỡng CS</w:t>
      </w:r>
      <w:r w:rsidR="00B86B0D">
        <w:rPr>
          <w:sz w:val="28"/>
          <w:szCs w:val="28"/>
          <w:lang w:val="en-US"/>
        </w:rPr>
        <w:t>HT Khu CNC Hòa L</w:t>
      </w:r>
      <w:r>
        <w:rPr>
          <w:sz w:val="28"/>
          <w:szCs w:val="28"/>
          <w:lang w:val="en-US"/>
        </w:rPr>
        <w:t xml:space="preserve">ạc chỉ thực hiện thanh toán tiền điện, không thực hiện công tác duy tu. Quý </w:t>
      </w:r>
      <w:r w:rsidR="00B86B0D">
        <w:rPr>
          <w:sz w:val="28"/>
          <w:szCs w:val="28"/>
          <w:lang w:val="en-US"/>
        </w:rPr>
        <w:t>II</w:t>
      </w:r>
      <w:r>
        <w:rPr>
          <w:sz w:val="28"/>
          <w:szCs w:val="28"/>
          <w:lang w:val="en-US"/>
        </w:rPr>
        <w:t xml:space="preserve">/22 có tỷ lệ giải ngân cao hơn cùng kỳ năm trước vì phát sinh tăng các hạng mục tiền điện của nhà máy xử lý nước thải. </w:t>
      </w:r>
    </w:p>
    <w:p w:rsidR="00323780" w:rsidRPr="001C02EE" w:rsidRDefault="001A3533" w:rsidP="009D2508">
      <w:pPr>
        <w:tabs>
          <w:tab w:val="left" w:pos="720"/>
        </w:tabs>
        <w:spacing w:before="120"/>
        <w:ind w:firstLine="567"/>
        <w:jc w:val="both"/>
        <w:rPr>
          <w:b/>
          <w:sz w:val="28"/>
          <w:szCs w:val="28"/>
          <w:lang w:val="en-US"/>
        </w:rPr>
      </w:pPr>
      <w:r>
        <w:rPr>
          <w:b/>
          <w:sz w:val="28"/>
          <w:szCs w:val="28"/>
          <w:lang w:val="en-US"/>
        </w:rPr>
        <w:t xml:space="preserve">II. </w:t>
      </w:r>
      <w:r w:rsidR="00323780" w:rsidRPr="001C02EE">
        <w:rPr>
          <w:b/>
          <w:sz w:val="28"/>
          <w:szCs w:val="28"/>
          <w:lang w:val="en-US"/>
        </w:rPr>
        <w:t xml:space="preserve">ĐÁNH GIÁ </w:t>
      </w:r>
      <w:r w:rsidR="00323780">
        <w:rPr>
          <w:b/>
          <w:sz w:val="28"/>
          <w:szCs w:val="28"/>
          <w:lang w:val="en-US"/>
        </w:rPr>
        <w:t>T</w:t>
      </w:r>
      <w:r w:rsidR="00323780" w:rsidRPr="00BA4BC9">
        <w:rPr>
          <w:b/>
          <w:sz w:val="28"/>
          <w:szCs w:val="28"/>
          <w:lang w:val="en-US"/>
        </w:rPr>
        <w:t>ÌNH</w:t>
      </w:r>
      <w:r w:rsidR="00323780">
        <w:rPr>
          <w:b/>
          <w:sz w:val="28"/>
          <w:szCs w:val="28"/>
          <w:lang w:val="en-US"/>
        </w:rPr>
        <w:t xml:space="preserve"> H</w:t>
      </w:r>
      <w:r w:rsidR="00323780" w:rsidRPr="00BA4BC9">
        <w:rPr>
          <w:b/>
          <w:sz w:val="28"/>
          <w:szCs w:val="28"/>
          <w:lang w:val="en-US"/>
        </w:rPr>
        <w:t>ÌNH</w:t>
      </w:r>
      <w:r w:rsidR="00323780">
        <w:rPr>
          <w:b/>
          <w:sz w:val="28"/>
          <w:szCs w:val="28"/>
          <w:lang w:val="en-US"/>
        </w:rPr>
        <w:t xml:space="preserve"> TH</w:t>
      </w:r>
      <w:r w:rsidR="00323780" w:rsidRPr="00BA4BC9">
        <w:rPr>
          <w:b/>
          <w:sz w:val="28"/>
          <w:szCs w:val="28"/>
          <w:lang w:val="en-US"/>
        </w:rPr>
        <w:t>ỰC</w:t>
      </w:r>
      <w:r w:rsidR="00323780">
        <w:rPr>
          <w:b/>
          <w:sz w:val="28"/>
          <w:szCs w:val="28"/>
          <w:lang w:val="en-US"/>
        </w:rPr>
        <w:t xml:space="preserve"> HI</w:t>
      </w:r>
      <w:r w:rsidR="00323780" w:rsidRPr="00BA4BC9">
        <w:rPr>
          <w:b/>
          <w:sz w:val="28"/>
          <w:szCs w:val="28"/>
          <w:lang w:val="en-US"/>
        </w:rPr>
        <w:t>ỆN</w:t>
      </w:r>
      <w:r w:rsidR="00323780">
        <w:rPr>
          <w:b/>
          <w:sz w:val="28"/>
          <w:szCs w:val="28"/>
          <w:lang w:val="en-US"/>
        </w:rPr>
        <w:t xml:space="preserve"> </w:t>
      </w:r>
      <w:r w:rsidR="00323780" w:rsidRPr="001C02EE">
        <w:rPr>
          <w:b/>
          <w:sz w:val="28"/>
          <w:szCs w:val="28"/>
          <w:lang w:val="en-US"/>
        </w:rPr>
        <w:t xml:space="preserve">TRONG </w:t>
      </w:r>
      <w:r w:rsidR="005F2345">
        <w:rPr>
          <w:b/>
          <w:sz w:val="28"/>
          <w:szCs w:val="28"/>
          <w:lang w:val="en-US"/>
        </w:rPr>
        <w:t>SÁU</w:t>
      </w:r>
      <w:r w:rsidR="00323780">
        <w:rPr>
          <w:b/>
          <w:sz w:val="28"/>
          <w:szCs w:val="28"/>
          <w:lang w:val="en-US"/>
        </w:rPr>
        <w:t xml:space="preserve"> TH</w:t>
      </w:r>
      <w:r w:rsidR="00323780" w:rsidRPr="00323780">
        <w:rPr>
          <w:b/>
          <w:sz w:val="28"/>
          <w:szCs w:val="28"/>
          <w:lang w:val="en-US"/>
        </w:rPr>
        <w:t>ÁN</w:t>
      </w:r>
      <w:r w:rsidR="00323780">
        <w:rPr>
          <w:b/>
          <w:sz w:val="28"/>
          <w:szCs w:val="28"/>
          <w:lang w:val="en-US"/>
        </w:rPr>
        <w:t xml:space="preserve">G </w:t>
      </w:r>
      <w:r w:rsidR="005F2345">
        <w:rPr>
          <w:b/>
          <w:sz w:val="28"/>
          <w:szCs w:val="28"/>
          <w:lang w:val="en-US"/>
        </w:rPr>
        <w:t xml:space="preserve">ĐẦU </w:t>
      </w:r>
      <w:r w:rsidR="00323780">
        <w:rPr>
          <w:b/>
          <w:sz w:val="28"/>
          <w:szCs w:val="28"/>
          <w:lang w:val="en-US"/>
        </w:rPr>
        <w:t>N</w:t>
      </w:r>
      <w:r w:rsidR="00323780" w:rsidRPr="00323780">
        <w:rPr>
          <w:b/>
          <w:sz w:val="28"/>
          <w:szCs w:val="28"/>
          <w:lang w:val="en-US"/>
        </w:rPr>
        <w:t>Ă</w:t>
      </w:r>
      <w:r w:rsidR="00323780">
        <w:rPr>
          <w:b/>
          <w:sz w:val="28"/>
          <w:szCs w:val="28"/>
          <w:lang w:val="en-US"/>
        </w:rPr>
        <w:t>M 20</w:t>
      </w:r>
      <w:r w:rsidR="003B2610">
        <w:rPr>
          <w:b/>
          <w:sz w:val="28"/>
          <w:szCs w:val="28"/>
          <w:lang w:val="en-US"/>
        </w:rPr>
        <w:t>22</w:t>
      </w:r>
    </w:p>
    <w:p w:rsidR="005F2345" w:rsidRDefault="003B2610" w:rsidP="009D2508">
      <w:pPr>
        <w:spacing w:before="120" w:after="120"/>
        <w:ind w:firstLine="567"/>
        <w:jc w:val="both"/>
        <w:rPr>
          <w:sz w:val="28"/>
          <w:szCs w:val="28"/>
          <w:lang w:val="en-US"/>
        </w:rPr>
      </w:pPr>
      <w:r>
        <w:rPr>
          <w:sz w:val="28"/>
          <w:szCs w:val="28"/>
          <w:lang w:val="en-US"/>
        </w:rPr>
        <w:t>Trong sáu tháng đầu năm 2022</w:t>
      </w:r>
      <w:r w:rsidR="005F2345">
        <w:rPr>
          <w:sz w:val="28"/>
          <w:szCs w:val="28"/>
          <w:lang w:val="en-US"/>
        </w:rPr>
        <w:t xml:space="preserve"> đã chi 7.</w:t>
      </w:r>
      <w:r>
        <w:rPr>
          <w:sz w:val="28"/>
          <w:szCs w:val="28"/>
          <w:lang w:val="en-US"/>
        </w:rPr>
        <w:t>481</w:t>
      </w:r>
      <w:r w:rsidR="005F2345">
        <w:rPr>
          <w:sz w:val="28"/>
          <w:szCs w:val="28"/>
          <w:lang w:val="en-US"/>
        </w:rPr>
        <w:t>,</w:t>
      </w:r>
      <w:r>
        <w:rPr>
          <w:sz w:val="28"/>
          <w:szCs w:val="28"/>
          <w:lang w:val="en-US"/>
        </w:rPr>
        <w:t>3</w:t>
      </w:r>
      <w:r w:rsidR="005F2345">
        <w:rPr>
          <w:sz w:val="28"/>
          <w:szCs w:val="28"/>
          <w:lang w:val="en-US"/>
        </w:rPr>
        <w:t xml:space="preserve"> tri</w:t>
      </w:r>
      <w:r w:rsidR="005F2345" w:rsidRPr="007119DD">
        <w:rPr>
          <w:sz w:val="28"/>
          <w:szCs w:val="28"/>
          <w:lang w:val="en-US"/>
        </w:rPr>
        <w:t>ệu</w:t>
      </w:r>
      <w:r w:rsidR="005F2345">
        <w:rPr>
          <w:sz w:val="28"/>
          <w:szCs w:val="28"/>
          <w:lang w:val="en-US"/>
        </w:rPr>
        <w:t xml:space="preserve"> đồng, đạt</w:t>
      </w:r>
      <w:r w:rsidR="00B86B0D">
        <w:rPr>
          <w:sz w:val="28"/>
          <w:szCs w:val="28"/>
          <w:lang w:val="en-US"/>
        </w:rPr>
        <w:t xml:space="preserve"> 38,17</w:t>
      </w:r>
      <w:r>
        <w:rPr>
          <w:sz w:val="28"/>
          <w:szCs w:val="28"/>
          <w:lang w:val="en-US"/>
        </w:rPr>
        <w:t>%  so với dự toán năm 2022</w:t>
      </w:r>
      <w:r w:rsidR="005F2345">
        <w:rPr>
          <w:sz w:val="28"/>
          <w:szCs w:val="28"/>
          <w:lang w:val="en-US"/>
        </w:rPr>
        <w:t xml:space="preserve">, bằng </w:t>
      </w:r>
      <w:r w:rsidR="00B86B0D">
        <w:rPr>
          <w:sz w:val="28"/>
          <w:szCs w:val="28"/>
          <w:lang w:val="en-US"/>
        </w:rPr>
        <w:t>97,13</w:t>
      </w:r>
      <w:r w:rsidR="005F2345">
        <w:rPr>
          <w:sz w:val="28"/>
          <w:szCs w:val="28"/>
          <w:lang w:val="en-US"/>
        </w:rPr>
        <w:t>%</w:t>
      </w:r>
      <w:r w:rsidR="00670CC0">
        <w:rPr>
          <w:sz w:val="28"/>
          <w:szCs w:val="28"/>
          <w:lang w:val="en-US"/>
        </w:rPr>
        <w:t xml:space="preserve"> so với mức chi cùng kỳ năm 2021</w:t>
      </w:r>
      <w:r w:rsidR="005F2345">
        <w:rPr>
          <w:sz w:val="28"/>
          <w:szCs w:val="28"/>
          <w:lang w:val="en-US"/>
        </w:rPr>
        <w:t xml:space="preserve"> (</w:t>
      </w:r>
      <w:r w:rsidR="00B86B0D">
        <w:rPr>
          <w:sz w:val="28"/>
          <w:szCs w:val="28"/>
          <w:lang w:val="en-US"/>
        </w:rPr>
        <w:t xml:space="preserve">Giảm </w:t>
      </w:r>
      <w:r w:rsidR="00D82789">
        <w:rPr>
          <w:sz w:val="28"/>
          <w:szCs w:val="28"/>
          <w:lang w:val="en-US"/>
        </w:rPr>
        <w:t>2,87</w:t>
      </w:r>
      <w:r w:rsidR="005F2345">
        <w:rPr>
          <w:sz w:val="28"/>
          <w:szCs w:val="28"/>
          <w:lang w:val="en-US"/>
        </w:rPr>
        <w:t>% so với c</w:t>
      </w:r>
      <w:r w:rsidR="005F2345" w:rsidRPr="00944364">
        <w:rPr>
          <w:sz w:val="28"/>
          <w:szCs w:val="28"/>
          <w:lang w:val="en-US"/>
        </w:rPr>
        <w:t>ùn</w:t>
      </w:r>
      <w:r w:rsidR="005F2345">
        <w:rPr>
          <w:sz w:val="28"/>
          <w:szCs w:val="28"/>
          <w:lang w:val="en-US"/>
        </w:rPr>
        <w:t>g k</w:t>
      </w:r>
      <w:r w:rsidR="005F2345" w:rsidRPr="00944364">
        <w:rPr>
          <w:sz w:val="28"/>
          <w:szCs w:val="28"/>
          <w:lang w:val="en-US"/>
        </w:rPr>
        <w:t>ỳ</w:t>
      </w:r>
      <w:r w:rsidR="00670CC0">
        <w:rPr>
          <w:sz w:val="28"/>
          <w:szCs w:val="28"/>
          <w:lang w:val="en-US"/>
        </w:rPr>
        <w:t xml:space="preserve"> năm 2021</w:t>
      </w:r>
      <w:r w:rsidR="005F2345">
        <w:rPr>
          <w:sz w:val="28"/>
          <w:szCs w:val="28"/>
          <w:lang w:val="en-US"/>
        </w:rPr>
        <w:t>).</w:t>
      </w:r>
    </w:p>
    <w:p w:rsidR="005F2345" w:rsidRDefault="00603058" w:rsidP="009D2508">
      <w:pPr>
        <w:spacing w:before="120" w:after="120"/>
        <w:ind w:firstLine="567"/>
        <w:jc w:val="both"/>
        <w:rPr>
          <w:sz w:val="28"/>
          <w:szCs w:val="28"/>
          <w:lang w:val="en-US"/>
        </w:rPr>
      </w:pPr>
      <w:r>
        <w:rPr>
          <w:b/>
          <w:sz w:val="28"/>
          <w:szCs w:val="28"/>
          <w:lang w:val="en-US"/>
        </w:rPr>
        <w:t xml:space="preserve">1. </w:t>
      </w:r>
      <w:r w:rsidR="00D60965">
        <w:rPr>
          <w:b/>
          <w:sz w:val="28"/>
          <w:szCs w:val="28"/>
          <w:lang w:val="en-US"/>
        </w:rPr>
        <w:t>Chi Q</w:t>
      </w:r>
      <w:r w:rsidR="005F2345" w:rsidRPr="00654C75">
        <w:rPr>
          <w:b/>
          <w:sz w:val="28"/>
          <w:szCs w:val="28"/>
          <w:lang w:val="en-US"/>
        </w:rPr>
        <w:t>uản lý hành chính</w:t>
      </w:r>
      <w:r w:rsidR="005F2345">
        <w:rPr>
          <w:sz w:val="28"/>
          <w:szCs w:val="28"/>
          <w:lang w:val="en-US"/>
        </w:rPr>
        <w:t xml:space="preserve">: </w:t>
      </w:r>
    </w:p>
    <w:p w:rsidR="00045DF7" w:rsidRDefault="00045DF7" w:rsidP="009D2508">
      <w:pPr>
        <w:tabs>
          <w:tab w:val="left" w:pos="720"/>
        </w:tabs>
        <w:spacing w:before="120" w:after="120"/>
        <w:ind w:firstLine="567"/>
        <w:jc w:val="both"/>
        <w:rPr>
          <w:sz w:val="28"/>
          <w:szCs w:val="28"/>
          <w:lang w:val="en-US"/>
        </w:rPr>
      </w:pPr>
      <w:r w:rsidRPr="001F074E">
        <w:rPr>
          <w:sz w:val="28"/>
          <w:szCs w:val="28"/>
          <w:lang w:val="en-US"/>
        </w:rPr>
        <w:t>-</w:t>
      </w:r>
      <w:r>
        <w:rPr>
          <w:sz w:val="28"/>
          <w:szCs w:val="28"/>
          <w:lang w:val="en-US"/>
        </w:rPr>
        <w:t xml:space="preserve"> Kinh ph</w:t>
      </w:r>
      <w:r w:rsidRPr="001F074E">
        <w:rPr>
          <w:sz w:val="28"/>
          <w:szCs w:val="28"/>
          <w:lang w:val="en-US"/>
        </w:rPr>
        <w:t>í</w:t>
      </w:r>
      <w:r>
        <w:rPr>
          <w:sz w:val="28"/>
          <w:szCs w:val="28"/>
          <w:lang w:val="en-US"/>
        </w:rPr>
        <w:t xml:space="preserve"> th</w:t>
      </w:r>
      <w:r w:rsidRPr="001F074E">
        <w:rPr>
          <w:sz w:val="28"/>
          <w:szCs w:val="28"/>
          <w:lang w:val="en-US"/>
        </w:rPr>
        <w:t>ực</w:t>
      </w:r>
      <w:r>
        <w:rPr>
          <w:sz w:val="28"/>
          <w:szCs w:val="28"/>
          <w:lang w:val="en-US"/>
        </w:rPr>
        <w:t xml:space="preserve"> hi</w:t>
      </w:r>
      <w:r w:rsidRPr="001F074E">
        <w:rPr>
          <w:sz w:val="28"/>
          <w:szCs w:val="28"/>
          <w:lang w:val="en-US"/>
        </w:rPr>
        <w:t>ện</w:t>
      </w:r>
      <w:r>
        <w:rPr>
          <w:sz w:val="28"/>
          <w:szCs w:val="28"/>
          <w:lang w:val="en-US"/>
        </w:rPr>
        <w:t xml:space="preserve"> ch</w:t>
      </w:r>
      <w:r w:rsidRPr="001F074E">
        <w:rPr>
          <w:sz w:val="28"/>
          <w:szCs w:val="28"/>
          <w:lang w:val="en-US"/>
        </w:rPr>
        <w:t>ế</w:t>
      </w:r>
      <w:r>
        <w:rPr>
          <w:sz w:val="28"/>
          <w:szCs w:val="28"/>
          <w:lang w:val="en-US"/>
        </w:rPr>
        <w:t xml:space="preserve"> đ</w:t>
      </w:r>
      <w:r w:rsidRPr="001F074E">
        <w:rPr>
          <w:sz w:val="28"/>
          <w:szCs w:val="28"/>
          <w:lang w:val="en-US"/>
        </w:rPr>
        <w:t>ộ</w:t>
      </w:r>
      <w:r>
        <w:rPr>
          <w:sz w:val="28"/>
          <w:szCs w:val="28"/>
          <w:lang w:val="en-US"/>
        </w:rPr>
        <w:t xml:space="preserve"> t</w:t>
      </w:r>
      <w:r w:rsidRPr="001F074E">
        <w:rPr>
          <w:sz w:val="28"/>
          <w:szCs w:val="28"/>
          <w:lang w:val="en-US"/>
        </w:rPr>
        <w:t>ự</w:t>
      </w:r>
      <w:r>
        <w:rPr>
          <w:sz w:val="28"/>
          <w:szCs w:val="28"/>
          <w:lang w:val="en-US"/>
        </w:rPr>
        <w:t xml:space="preserve"> ch</w:t>
      </w:r>
      <w:r w:rsidRPr="001F074E">
        <w:rPr>
          <w:sz w:val="28"/>
          <w:szCs w:val="28"/>
          <w:lang w:val="en-US"/>
        </w:rPr>
        <w:t>ủ</w:t>
      </w:r>
      <w:r>
        <w:rPr>
          <w:sz w:val="28"/>
          <w:szCs w:val="28"/>
          <w:lang w:val="en-US"/>
        </w:rPr>
        <w:t xml:space="preserve">: Trong 6 tháng đầu năm 2022 </w:t>
      </w:r>
      <w:r w:rsidRPr="00162532">
        <w:rPr>
          <w:sz w:val="28"/>
          <w:szCs w:val="28"/>
          <w:lang w:val="en-US"/>
        </w:rPr>
        <w:t>đã</w:t>
      </w:r>
      <w:r>
        <w:rPr>
          <w:sz w:val="28"/>
          <w:szCs w:val="28"/>
          <w:lang w:val="en-US"/>
        </w:rPr>
        <w:t xml:space="preserve"> chi 4.979 triệu đồng, đạt 48,64% so với dự toán n</w:t>
      </w:r>
      <w:r w:rsidRPr="001F074E">
        <w:rPr>
          <w:sz w:val="28"/>
          <w:szCs w:val="28"/>
          <w:lang w:val="en-US"/>
        </w:rPr>
        <w:t>ă</w:t>
      </w:r>
      <w:r>
        <w:rPr>
          <w:sz w:val="28"/>
          <w:szCs w:val="28"/>
          <w:lang w:val="en-US"/>
        </w:rPr>
        <w:t>m và bằng 109</w:t>
      </w:r>
      <w:r w:rsidR="00D82789">
        <w:rPr>
          <w:sz w:val="28"/>
          <w:szCs w:val="28"/>
          <w:lang w:val="en-US"/>
        </w:rPr>
        <w:t>,19</w:t>
      </w:r>
      <w:r>
        <w:rPr>
          <w:sz w:val="28"/>
          <w:szCs w:val="28"/>
          <w:lang w:val="en-US"/>
        </w:rPr>
        <w:t>% so với cùng kỳ năm 2021, như vậy t</w:t>
      </w:r>
      <w:r w:rsidRPr="006D5616">
        <w:rPr>
          <w:sz w:val="28"/>
          <w:szCs w:val="28"/>
          <w:lang w:val="en-US"/>
        </w:rPr>
        <w:t>ă</w:t>
      </w:r>
      <w:r>
        <w:rPr>
          <w:sz w:val="28"/>
          <w:szCs w:val="28"/>
          <w:lang w:val="en-US"/>
        </w:rPr>
        <w:t xml:space="preserve">ng 9,19% mức chi so với cùng kỳ năm trước. </w:t>
      </w:r>
    </w:p>
    <w:p w:rsidR="00045DF7" w:rsidRDefault="00045DF7" w:rsidP="009D2508">
      <w:pPr>
        <w:tabs>
          <w:tab w:val="left" w:pos="720"/>
        </w:tabs>
        <w:spacing w:before="120" w:after="120"/>
        <w:ind w:firstLine="567"/>
        <w:jc w:val="both"/>
        <w:rPr>
          <w:sz w:val="28"/>
          <w:szCs w:val="28"/>
          <w:lang w:val="en-US"/>
        </w:rPr>
      </w:pPr>
      <w:r>
        <w:rPr>
          <w:sz w:val="28"/>
          <w:szCs w:val="28"/>
          <w:lang w:val="en-US"/>
        </w:rPr>
        <w:t>Nguyên nhân t</w:t>
      </w:r>
      <w:r w:rsidRPr="006D5616">
        <w:rPr>
          <w:sz w:val="28"/>
          <w:szCs w:val="28"/>
          <w:lang w:val="en-US"/>
        </w:rPr>
        <w:t>ă</w:t>
      </w:r>
      <w:r>
        <w:rPr>
          <w:sz w:val="28"/>
          <w:szCs w:val="28"/>
          <w:lang w:val="en-US"/>
        </w:rPr>
        <w:t>ng so với cùng kỳ năm 2021: Các khoản thanh toán cho cá nhân từ quỹ tiền lương biên chế tăng như: H</w:t>
      </w:r>
      <w:r w:rsidRPr="00493160">
        <w:rPr>
          <w:sz w:val="28"/>
          <w:szCs w:val="28"/>
          <w:lang w:val="en-US"/>
        </w:rPr>
        <w:t>ệ</w:t>
      </w:r>
      <w:r>
        <w:rPr>
          <w:sz w:val="28"/>
          <w:szCs w:val="28"/>
          <w:lang w:val="en-US"/>
        </w:rPr>
        <w:t xml:space="preserve"> s</w:t>
      </w:r>
      <w:r w:rsidRPr="00493160">
        <w:rPr>
          <w:sz w:val="28"/>
          <w:szCs w:val="28"/>
          <w:lang w:val="en-US"/>
        </w:rPr>
        <w:t>ố</w:t>
      </w:r>
      <w:r>
        <w:rPr>
          <w:sz w:val="28"/>
          <w:szCs w:val="28"/>
          <w:lang w:val="en-US"/>
        </w:rPr>
        <w:t xml:space="preserve"> qu</w:t>
      </w:r>
      <w:r w:rsidRPr="00493160">
        <w:rPr>
          <w:sz w:val="28"/>
          <w:szCs w:val="28"/>
          <w:lang w:val="en-US"/>
        </w:rPr>
        <w:t>ỹ</w:t>
      </w:r>
      <w:r>
        <w:rPr>
          <w:sz w:val="28"/>
          <w:szCs w:val="28"/>
          <w:lang w:val="en-US"/>
        </w:rPr>
        <w:t xml:space="preserve"> ti</w:t>
      </w:r>
      <w:r w:rsidRPr="00493160">
        <w:rPr>
          <w:sz w:val="28"/>
          <w:szCs w:val="28"/>
          <w:lang w:val="en-US"/>
        </w:rPr>
        <w:t>ền</w:t>
      </w:r>
      <w:r>
        <w:rPr>
          <w:sz w:val="28"/>
          <w:szCs w:val="28"/>
          <w:lang w:val="en-US"/>
        </w:rPr>
        <w:t xml:space="preserve"> l</w:t>
      </w:r>
      <w:r w:rsidRPr="00493160">
        <w:rPr>
          <w:sz w:val="28"/>
          <w:szCs w:val="28"/>
          <w:lang w:val="en-US"/>
        </w:rPr>
        <w:t>ươ</w:t>
      </w:r>
      <w:r>
        <w:rPr>
          <w:sz w:val="28"/>
          <w:szCs w:val="28"/>
          <w:lang w:val="en-US"/>
        </w:rPr>
        <w:t>ng bi</w:t>
      </w:r>
      <w:r w:rsidRPr="00493160">
        <w:rPr>
          <w:sz w:val="28"/>
          <w:szCs w:val="28"/>
          <w:lang w:val="en-US"/>
        </w:rPr>
        <w:t>ê</w:t>
      </w:r>
      <w:r>
        <w:rPr>
          <w:sz w:val="28"/>
          <w:szCs w:val="28"/>
          <w:lang w:val="en-US"/>
        </w:rPr>
        <w:t>n ch</w:t>
      </w:r>
      <w:r w:rsidRPr="00493160">
        <w:rPr>
          <w:sz w:val="28"/>
          <w:szCs w:val="28"/>
          <w:lang w:val="en-US"/>
        </w:rPr>
        <w:t>ế</w:t>
      </w:r>
      <w:r>
        <w:rPr>
          <w:sz w:val="28"/>
          <w:szCs w:val="28"/>
          <w:lang w:val="en-US"/>
        </w:rPr>
        <w:t>, h</w:t>
      </w:r>
      <w:r w:rsidRPr="00493160">
        <w:rPr>
          <w:sz w:val="28"/>
          <w:szCs w:val="28"/>
          <w:lang w:val="en-US"/>
        </w:rPr>
        <w:t>ợp</w:t>
      </w:r>
      <w:r>
        <w:rPr>
          <w:sz w:val="28"/>
          <w:szCs w:val="28"/>
          <w:lang w:val="en-US"/>
        </w:rPr>
        <w:t xml:space="preserve"> đ</w:t>
      </w:r>
      <w:r w:rsidRPr="00493160">
        <w:rPr>
          <w:sz w:val="28"/>
          <w:szCs w:val="28"/>
          <w:lang w:val="en-US"/>
        </w:rPr>
        <w:t>ồng</w:t>
      </w:r>
      <w:r>
        <w:rPr>
          <w:sz w:val="28"/>
          <w:szCs w:val="28"/>
          <w:lang w:val="en-US"/>
        </w:rPr>
        <w:t xml:space="preserve"> lao đ</w:t>
      </w:r>
      <w:r w:rsidRPr="00493160">
        <w:rPr>
          <w:sz w:val="28"/>
          <w:szCs w:val="28"/>
          <w:lang w:val="en-US"/>
        </w:rPr>
        <w:t>ộng</w:t>
      </w:r>
      <w:r>
        <w:rPr>
          <w:sz w:val="28"/>
          <w:szCs w:val="28"/>
          <w:lang w:val="en-US"/>
        </w:rPr>
        <w:t xml:space="preserve"> c</w:t>
      </w:r>
      <w:r w:rsidRPr="00493160">
        <w:rPr>
          <w:sz w:val="28"/>
          <w:szCs w:val="28"/>
          <w:lang w:val="en-US"/>
        </w:rPr>
        <w:t>ủa</w:t>
      </w:r>
      <w:r>
        <w:rPr>
          <w:sz w:val="28"/>
          <w:szCs w:val="28"/>
          <w:lang w:val="en-US"/>
        </w:rPr>
        <w:t xml:space="preserve"> 6 tháng đầu năm 2022 cao h</w:t>
      </w:r>
      <w:r w:rsidRPr="00493160">
        <w:rPr>
          <w:sz w:val="28"/>
          <w:szCs w:val="28"/>
          <w:lang w:val="en-US"/>
        </w:rPr>
        <w:t>ơ</w:t>
      </w:r>
      <w:r>
        <w:rPr>
          <w:sz w:val="28"/>
          <w:szCs w:val="28"/>
          <w:lang w:val="en-US"/>
        </w:rPr>
        <w:t>n h</w:t>
      </w:r>
      <w:r w:rsidRPr="00493160">
        <w:rPr>
          <w:sz w:val="28"/>
          <w:szCs w:val="28"/>
          <w:lang w:val="en-US"/>
        </w:rPr>
        <w:t>ệ</w:t>
      </w:r>
      <w:r>
        <w:rPr>
          <w:sz w:val="28"/>
          <w:szCs w:val="28"/>
          <w:lang w:val="en-US"/>
        </w:rPr>
        <w:t xml:space="preserve"> s</w:t>
      </w:r>
      <w:r w:rsidRPr="00493160">
        <w:rPr>
          <w:sz w:val="28"/>
          <w:szCs w:val="28"/>
          <w:lang w:val="en-US"/>
        </w:rPr>
        <w:t>ố</w:t>
      </w:r>
      <w:r>
        <w:rPr>
          <w:sz w:val="28"/>
          <w:szCs w:val="28"/>
          <w:lang w:val="en-US"/>
        </w:rPr>
        <w:t xml:space="preserve"> ti</w:t>
      </w:r>
      <w:r w:rsidRPr="00493160">
        <w:rPr>
          <w:sz w:val="28"/>
          <w:szCs w:val="28"/>
          <w:lang w:val="en-US"/>
        </w:rPr>
        <w:t>ền</w:t>
      </w:r>
      <w:r>
        <w:rPr>
          <w:sz w:val="28"/>
          <w:szCs w:val="28"/>
          <w:lang w:val="en-US"/>
        </w:rPr>
        <w:t xml:space="preserve"> l</w:t>
      </w:r>
      <w:r w:rsidRPr="00493160">
        <w:rPr>
          <w:sz w:val="28"/>
          <w:szCs w:val="28"/>
          <w:lang w:val="en-US"/>
        </w:rPr>
        <w:t>ươ</w:t>
      </w:r>
      <w:r>
        <w:rPr>
          <w:sz w:val="28"/>
          <w:szCs w:val="28"/>
          <w:lang w:val="en-US"/>
        </w:rPr>
        <w:t>ng cùng kỳ năm trước do tăng mới 07 công chức biên chế mới tuyển dụng và phát sinh chi phí thanh toán trợ cấp thôi việc cho công chức xin nghỉ việc. Đồng thời, các nhiệm vụ chi thường xuyên năm 2022 so với cùng kỳ năm trước cũng cao hơn vì nhiệm vụ chi bảo vệ Trụ sở Ban quản lý được bố trí chi giải ngân từ kinh phí chi thường xuyên (năm 2021 trở về trước được chi từ nguồn kinh phí không tự chủ).</w:t>
      </w:r>
    </w:p>
    <w:p w:rsidR="00045DF7" w:rsidRDefault="00045DF7" w:rsidP="009D2508">
      <w:pPr>
        <w:tabs>
          <w:tab w:val="left" w:pos="720"/>
        </w:tabs>
        <w:spacing w:before="120" w:after="120"/>
        <w:ind w:firstLine="567"/>
        <w:jc w:val="both"/>
        <w:rPr>
          <w:sz w:val="28"/>
          <w:szCs w:val="28"/>
          <w:lang w:val="en-US"/>
        </w:rPr>
      </w:pPr>
      <w:r>
        <w:rPr>
          <w:sz w:val="28"/>
          <w:szCs w:val="28"/>
          <w:lang w:val="en-US"/>
        </w:rPr>
        <w:t>- Kinh ph</w:t>
      </w:r>
      <w:r w:rsidRPr="003C13E9">
        <w:rPr>
          <w:sz w:val="28"/>
          <w:szCs w:val="28"/>
          <w:lang w:val="en-US"/>
        </w:rPr>
        <w:t>í</w:t>
      </w:r>
      <w:r>
        <w:rPr>
          <w:sz w:val="28"/>
          <w:szCs w:val="28"/>
          <w:lang w:val="en-US"/>
        </w:rPr>
        <w:t xml:space="preserve"> th</w:t>
      </w:r>
      <w:r w:rsidRPr="003C13E9">
        <w:rPr>
          <w:sz w:val="28"/>
          <w:szCs w:val="28"/>
          <w:lang w:val="en-US"/>
        </w:rPr>
        <w:t>ực</w:t>
      </w:r>
      <w:r>
        <w:rPr>
          <w:sz w:val="28"/>
          <w:szCs w:val="28"/>
          <w:lang w:val="en-US"/>
        </w:rPr>
        <w:t xml:space="preserve"> hi</w:t>
      </w:r>
      <w:r w:rsidRPr="003C13E9">
        <w:rPr>
          <w:sz w:val="28"/>
          <w:szCs w:val="28"/>
          <w:lang w:val="en-US"/>
        </w:rPr>
        <w:t>ện</w:t>
      </w:r>
      <w:r>
        <w:rPr>
          <w:sz w:val="28"/>
          <w:szCs w:val="28"/>
          <w:lang w:val="en-US"/>
        </w:rPr>
        <w:t xml:space="preserve"> ch</w:t>
      </w:r>
      <w:r w:rsidRPr="003C13E9">
        <w:rPr>
          <w:sz w:val="28"/>
          <w:szCs w:val="28"/>
          <w:lang w:val="en-US"/>
        </w:rPr>
        <w:t>ế</w:t>
      </w:r>
      <w:r>
        <w:rPr>
          <w:sz w:val="28"/>
          <w:szCs w:val="28"/>
          <w:lang w:val="en-US"/>
        </w:rPr>
        <w:t xml:space="preserve"> đ</w:t>
      </w:r>
      <w:r w:rsidRPr="003C13E9">
        <w:rPr>
          <w:sz w:val="28"/>
          <w:szCs w:val="28"/>
          <w:lang w:val="en-US"/>
        </w:rPr>
        <w:t>ộ</w:t>
      </w:r>
      <w:r>
        <w:rPr>
          <w:sz w:val="28"/>
          <w:szCs w:val="28"/>
          <w:lang w:val="en-US"/>
        </w:rPr>
        <w:t xml:space="preserve"> kh</w:t>
      </w:r>
      <w:r w:rsidRPr="003C13E9">
        <w:rPr>
          <w:sz w:val="28"/>
          <w:szCs w:val="28"/>
          <w:lang w:val="en-US"/>
        </w:rPr>
        <w:t>ô</w:t>
      </w:r>
      <w:r>
        <w:rPr>
          <w:sz w:val="28"/>
          <w:szCs w:val="28"/>
          <w:lang w:val="en-US"/>
        </w:rPr>
        <w:t>ng t</w:t>
      </w:r>
      <w:r w:rsidRPr="003C13E9">
        <w:rPr>
          <w:sz w:val="28"/>
          <w:szCs w:val="28"/>
          <w:lang w:val="en-US"/>
        </w:rPr>
        <w:t>ự</w:t>
      </w:r>
      <w:r>
        <w:rPr>
          <w:sz w:val="28"/>
          <w:szCs w:val="28"/>
          <w:lang w:val="en-US"/>
        </w:rPr>
        <w:t xml:space="preserve"> ch</w:t>
      </w:r>
      <w:r w:rsidRPr="003C13E9">
        <w:rPr>
          <w:sz w:val="28"/>
          <w:szCs w:val="28"/>
          <w:lang w:val="en-US"/>
        </w:rPr>
        <w:t>ủ</w:t>
      </w:r>
      <w:r>
        <w:rPr>
          <w:sz w:val="28"/>
          <w:szCs w:val="28"/>
          <w:lang w:val="en-US"/>
        </w:rPr>
        <w:t xml:space="preserve">: Trong 6 tháng đầu năm 2022 thực hiện giải ngân 83 triệu đồng, đạt 2.87% so với dự toán năm và bằng </w:t>
      </w:r>
      <w:r w:rsidR="00D82789">
        <w:rPr>
          <w:sz w:val="28"/>
          <w:szCs w:val="28"/>
          <w:lang w:val="en-US"/>
        </w:rPr>
        <w:t>6,55</w:t>
      </w:r>
      <w:r>
        <w:rPr>
          <w:sz w:val="28"/>
          <w:szCs w:val="28"/>
          <w:lang w:val="en-US"/>
        </w:rPr>
        <w:t>% so với cùng kỳ năm trước. Như vậy, giảm 93,45% mức chi so với cùng kỳ năm trước.</w:t>
      </w:r>
    </w:p>
    <w:p w:rsidR="00045DF7" w:rsidRDefault="00045DF7" w:rsidP="009D2508">
      <w:pPr>
        <w:tabs>
          <w:tab w:val="left" w:pos="720"/>
        </w:tabs>
        <w:spacing w:before="120" w:after="120"/>
        <w:ind w:firstLine="567"/>
        <w:jc w:val="both"/>
        <w:rPr>
          <w:sz w:val="28"/>
          <w:szCs w:val="28"/>
          <w:lang w:val="en-US"/>
        </w:rPr>
      </w:pPr>
      <w:r>
        <w:rPr>
          <w:sz w:val="28"/>
          <w:szCs w:val="28"/>
          <w:lang w:val="en-US"/>
        </w:rPr>
        <w:t>Nguyên nhân giảm: Năm 2022 nhiệm vụ thuê bảo vệ Trụ sở ban quản lý Khu CNC Hòa Lạc không được giao dự toán từ nguồn quản lý hành chính – không tự chủ nên không thực hiện giải ngân. Đồng thời, nhiệm vụ thuê bảo vệ chuyên nghiệp để bảo vệ Khu CNC Hòa Lạc chưa lựa chọn được nhà thầu trong 6 tháng đầu năm nên tạm thời công tác bảo vệ Khu CNC Hòa Lạc do các Công ty phát triển hạ tầng Khu CNC Hòa Lạc hỗ trợ kinh phí thực hiện và chưa thực hiện giải ngân kinh phí.</w:t>
      </w:r>
    </w:p>
    <w:p w:rsidR="00045DF7" w:rsidRDefault="005F2345" w:rsidP="009D2508">
      <w:pPr>
        <w:spacing w:before="120" w:after="120"/>
        <w:ind w:firstLine="567"/>
        <w:jc w:val="both"/>
        <w:rPr>
          <w:sz w:val="28"/>
          <w:szCs w:val="28"/>
          <w:lang w:val="en-US"/>
        </w:rPr>
      </w:pPr>
      <w:r w:rsidRPr="005F19EA">
        <w:rPr>
          <w:b/>
          <w:sz w:val="28"/>
          <w:szCs w:val="28"/>
          <w:lang w:val="en-US"/>
        </w:rPr>
        <w:t>2. Chi Nghiên cứu khoa học</w:t>
      </w:r>
      <w:r>
        <w:rPr>
          <w:sz w:val="28"/>
          <w:szCs w:val="28"/>
          <w:lang w:val="en-US"/>
        </w:rPr>
        <w:t xml:space="preserve">: </w:t>
      </w:r>
    </w:p>
    <w:p w:rsidR="00045DF7" w:rsidRDefault="00045DF7" w:rsidP="009D2508">
      <w:pPr>
        <w:tabs>
          <w:tab w:val="left" w:pos="720"/>
        </w:tabs>
        <w:spacing w:before="120" w:after="120"/>
        <w:ind w:firstLine="567"/>
        <w:jc w:val="both"/>
        <w:rPr>
          <w:sz w:val="28"/>
          <w:szCs w:val="28"/>
          <w:lang w:val="en-US"/>
        </w:rPr>
      </w:pPr>
      <w:r>
        <w:rPr>
          <w:sz w:val="28"/>
          <w:szCs w:val="28"/>
          <w:lang w:val="en-US"/>
        </w:rPr>
        <w:t xml:space="preserve">Trong 6 tháng đầu năm 2022 </w:t>
      </w:r>
      <w:r w:rsidRPr="00450192">
        <w:rPr>
          <w:sz w:val="28"/>
          <w:szCs w:val="28"/>
          <w:lang w:val="en-US"/>
        </w:rPr>
        <w:t>đã</w:t>
      </w:r>
      <w:r>
        <w:rPr>
          <w:sz w:val="28"/>
          <w:szCs w:val="28"/>
          <w:lang w:val="en-US"/>
        </w:rPr>
        <w:t xml:space="preserve"> chi 105,9 triệu đồng, đạt 1</w:t>
      </w:r>
      <w:r w:rsidR="00D82789">
        <w:rPr>
          <w:sz w:val="28"/>
          <w:szCs w:val="28"/>
          <w:lang w:val="en-US"/>
        </w:rPr>
        <w:t>3</w:t>
      </w:r>
      <w:r>
        <w:rPr>
          <w:sz w:val="28"/>
          <w:szCs w:val="28"/>
          <w:lang w:val="en-US"/>
        </w:rPr>
        <w:t>,</w:t>
      </w:r>
      <w:r w:rsidR="00D82789">
        <w:rPr>
          <w:sz w:val="28"/>
          <w:szCs w:val="28"/>
          <w:lang w:val="en-US"/>
        </w:rPr>
        <w:t>5</w:t>
      </w:r>
      <w:r>
        <w:rPr>
          <w:sz w:val="28"/>
          <w:szCs w:val="28"/>
          <w:lang w:val="en-US"/>
        </w:rPr>
        <w:t>8% so với dự toán, bằng 103,32% so với cùng kỳ năm trước, nh</w:t>
      </w:r>
      <w:r w:rsidRPr="00450192">
        <w:rPr>
          <w:sz w:val="28"/>
          <w:szCs w:val="28"/>
          <w:lang w:val="en-US"/>
        </w:rPr>
        <w:t>ư</w:t>
      </w:r>
      <w:r>
        <w:rPr>
          <w:sz w:val="28"/>
          <w:szCs w:val="28"/>
          <w:lang w:val="en-US"/>
        </w:rPr>
        <w:t xml:space="preserve"> v</w:t>
      </w:r>
      <w:r w:rsidRPr="00450192">
        <w:rPr>
          <w:sz w:val="28"/>
          <w:szCs w:val="28"/>
          <w:lang w:val="en-US"/>
        </w:rPr>
        <w:t>ậy</w:t>
      </w:r>
      <w:r>
        <w:rPr>
          <w:sz w:val="28"/>
          <w:szCs w:val="28"/>
          <w:lang w:val="en-US"/>
        </w:rPr>
        <w:t xml:space="preserve"> tăng  3,32% so với cùng kỳ năm trước.</w:t>
      </w:r>
    </w:p>
    <w:p w:rsidR="00045DF7" w:rsidRDefault="00045DF7" w:rsidP="009D2508">
      <w:pPr>
        <w:tabs>
          <w:tab w:val="left" w:pos="720"/>
        </w:tabs>
        <w:spacing w:before="120" w:after="120"/>
        <w:ind w:firstLine="567"/>
        <w:jc w:val="both"/>
        <w:rPr>
          <w:sz w:val="28"/>
          <w:szCs w:val="28"/>
          <w:lang w:val="en-US"/>
        </w:rPr>
      </w:pPr>
      <w:r>
        <w:rPr>
          <w:sz w:val="28"/>
          <w:szCs w:val="28"/>
          <w:lang w:val="en-US"/>
        </w:rPr>
        <w:lastRenderedPageBreak/>
        <w:t xml:space="preserve">Nguyên nhân tăng: Tỷ lệ giải ngân 6 tháng đầu năm 2022 tăng không đáng kể so với cùng kỳ năm trước. Nhiệm vụ giải ngân chủ yếu là phí </w:t>
      </w:r>
      <w:r w:rsidRPr="00AB259F">
        <w:rPr>
          <w:sz w:val="28"/>
          <w:szCs w:val="28"/>
          <w:lang w:val="en-US"/>
        </w:rPr>
        <w:t>duy tr</w:t>
      </w:r>
      <w:r>
        <w:rPr>
          <w:sz w:val="28"/>
          <w:szCs w:val="28"/>
          <w:lang w:val="en-US"/>
        </w:rPr>
        <w:t>ì</w:t>
      </w:r>
      <w:r w:rsidRPr="00AB259F">
        <w:rPr>
          <w:sz w:val="28"/>
          <w:szCs w:val="28"/>
          <w:lang w:val="en-US"/>
        </w:rPr>
        <w:t xml:space="preserve">, </w:t>
      </w:r>
      <w:r>
        <w:rPr>
          <w:sz w:val="28"/>
          <w:szCs w:val="28"/>
          <w:lang w:val="en-US"/>
        </w:rPr>
        <w:t>đảm bảo hệ thống công nghệ thông tin của Ban quản lý được thanh toán từ đầu năm để duy trì cho cả năm nên các tháng tiếp theo không phát sinh giải ngân kinh phí.</w:t>
      </w:r>
    </w:p>
    <w:p w:rsidR="00045DF7" w:rsidRDefault="005F2345" w:rsidP="009D2508">
      <w:pPr>
        <w:tabs>
          <w:tab w:val="left" w:pos="720"/>
        </w:tabs>
        <w:spacing w:before="120" w:after="120"/>
        <w:ind w:firstLine="567"/>
        <w:jc w:val="both"/>
        <w:rPr>
          <w:sz w:val="28"/>
          <w:szCs w:val="28"/>
          <w:lang w:val="en-US"/>
        </w:rPr>
      </w:pPr>
      <w:r>
        <w:rPr>
          <w:b/>
          <w:sz w:val="28"/>
          <w:szCs w:val="28"/>
          <w:lang w:val="en-US"/>
        </w:rPr>
        <w:t xml:space="preserve">3. </w:t>
      </w:r>
      <w:r w:rsidRPr="002748EE">
        <w:rPr>
          <w:b/>
          <w:sz w:val="28"/>
          <w:szCs w:val="28"/>
          <w:lang w:val="en-US"/>
        </w:rPr>
        <w:t xml:space="preserve">Chi </w:t>
      </w:r>
      <w:r w:rsidR="00D60965">
        <w:rPr>
          <w:b/>
          <w:sz w:val="28"/>
          <w:szCs w:val="28"/>
          <w:lang w:val="en-US"/>
        </w:rPr>
        <w:t>H</w:t>
      </w:r>
      <w:r w:rsidRPr="002748EE">
        <w:rPr>
          <w:b/>
          <w:sz w:val="28"/>
          <w:szCs w:val="28"/>
          <w:lang w:val="en-US"/>
        </w:rPr>
        <w:t>oạt động kinh tế</w:t>
      </w:r>
      <w:r>
        <w:rPr>
          <w:sz w:val="28"/>
          <w:szCs w:val="28"/>
          <w:lang w:val="en-US"/>
        </w:rPr>
        <w:t xml:space="preserve">: </w:t>
      </w:r>
    </w:p>
    <w:p w:rsidR="00045DF7" w:rsidRDefault="00045DF7" w:rsidP="009D2508">
      <w:pPr>
        <w:tabs>
          <w:tab w:val="left" w:pos="720"/>
        </w:tabs>
        <w:spacing w:before="120" w:after="120"/>
        <w:ind w:firstLine="567"/>
        <w:jc w:val="both"/>
        <w:rPr>
          <w:sz w:val="28"/>
          <w:szCs w:val="28"/>
          <w:lang w:val="en-US"/>
        </w:rPr>
      </w:pPr>
      <w:r>
        <w:rPr>
          <w:sz w:val="28"/>
          <w:szCs w:val="28"/>
          <w:lang w:val="en-US"/>
        </w:rPr>
        <w:t xml:space="preserve">Trong 6 tháng đầu năm 2022 </w:t>
      </w:r>
      <w:r w:rsidRPr="00450192">
        <w:rPr>
          <w:sz w:val="28"/>
          <w:szCs w:val="28"/>
          <w:lang w:val="en-US"/>
        </w:rPr>
        <w:t>đã</w:t>
      </w:r>
      <w:r>
        <w:rPr>
          <w:sz w:val="28"/>
          <w:szCs w:val="28"/>
          <w:lang w:val="en-US"/>
        </w:rPr>
        <w:t xml:space="preserve"> chi 683,4 triệu đồng, đạt 87,6% so với dự toán, bằng 451,98% so với cùng kỳ năm trước, nh</w:t>
      </w:r>
      <w:r w:rsidRPr="00450192">
        <w:rPr>
          <w:sz w:val="28"/>
          <w:szCs w:val="28"/>
          <w:lang w:val="en-US"/>
        </w:rPr>
        <w:t>ư</w:t>
      </w:r>
      <w:r>
        <w:rPr>
          <w:sz w:val="28"/>
          <w:szCs w:val="28"/>
          <w:lang w:val="en-US"/>
        </w:rPr>
        <w:t xml:space="preserve"> v</w:t>
      </w:r>
      <w:r w:rsidRPr="00450192">
        <w:rPr>
          <w:sz w:val="28"/>
          <w:szCs w:val="28"/>
          <w:lang w:val="en-US"/>
        </w:rPr>
        <w:t>ậy</w:t>
      </w:r>
      <w:r>
        <w:rPr>
          <w:sz w:val="28"/>
          <w:szCs w:val="28"/>
          <w:lang w:val="en-US"/>
        </w:rPr>
        <w:t xml:space="preserve"> tăng 351,98% so với cùng kỳ.</w:t>
      </w:r>
    </w:p>
    <w:p w:rsidR="00045DF7" w:rsidRDefault="00045DF7" w:rsidP="009D2508">
      <w:pPr>
        <w:tabs>
          <w:tab w:val="left" w:pos="720"/>
        </w:tabs>
        <w:spacing w:before="120" w:after="120"/>
        <w:ind w:firstLine="567"/>
        <w:jc w:val="both"/>
        <w:rPr>
          <w:sz w:val="28"/>
          <w:szCs w:val="28"/>
          <w:lang w:val="en-US"/>
        </w:rPr>
      </w:pPr>
      <w:r>
        <w:rPr>
          <w:sz w:val="28"/>
          <w:szCs w:val="28"/>
          <w:lang w:val="en-US"/>
        </w:rPr>
        <w:t>Nguyên nhân tăng: Mặc dù, năm 2022 kinh ph</w:t>
      </w:r>
      <w:r w:rsidRPr="00263ECA">
        <w:rPr>
          <w:sz w:val="28"/>
          <w:szCs w:val="28"/>
          <w:lang w:val="en-US"/>
        </w:rPr>
        <w:t>í</w:t>
      </w:r>
      <w:r>
        <w:rPr>
          <w:sz w:val="28"/>
          <w:szCs w:val="28"/>
          <w:lang w:val="en-US"/>
        </w:rPr>
        <w:t xml:space="preserve"> b</w:t>
      </w:r>
      <w:r w:rsidRPr="00263ECA">
        <w:rPr>
          <w:sz w:val="28"/>
          <w:szCs w:val="28"/>
          <w:lang w:val="en-US"/>
        </w:rPr>
        <w:t>ố</w:t>
      </w:r>
      <w:r>
        <w:rPr>
          <w:sz w:val="28"/>
          <w:szCs w:val="28"/>
          <w:lang w:val="en-US"/>
        </w:rPr>
        <w:t xml:space="preserve"> tr</w:t>
      </w:r>
      <w:r w:rsidRPr="00263ECA">
        <w:rPr>
          <w:sz w:val="28"/>
          <w:szCs w:val="28"/>
          <w:lang w:val="en-US"/>
        </w:rPr>
        <w:t>í</w:t>
      </w:r>
      <w:r>
        <w:rPr>
          <w:sz w:val="28"/>
          <w:szCs w:val="28"/>
          <w:lang w:val="en-US"/>
        </w:rPr>
        <w:t xml:space="preserve"> chi cho các nhiệm vụ về Duy tu bảo dưỡng CSHT Khu CNC Hòa Lạc và vận hành nhà máy xử lý nước thải giảm so với năm 2021 là 5.555 triệu đồng. Nguồn kinh phí được giao cho duy</w:t>
      </w:r>
      <w:r w:rsidR="00426BB7">
        <w:rPr>
          <w:sz w:val="28"/>
          <w:szCs w:val="28"/>
          <w:lang w:val="en-US"/>
        </w:rPr>
        <w:t xml:space="preserve"> tu bảo dưỡng CSHT Khu CNC Hòa L</w:t>
      </w:r>
      <w:r>
        <w:rPr>
          <w:sz w:val="28"/>
          <w:szCs w:val="28"/>
          <w:lang w:val="en-US"/>
        </w:rPr>
        <w:t>ạc chỉ thực hiện thanh toán tiền điện, không thực hiện công tác duy tu. Trong 6 tháng đầu năm 2022 có tỷ lệ giải ngân cao hơn cùng kỳ năm trước vì phát sinh tăng các hạng mục tiền điện của nhà máy xử lý nước thải./.</w:t>
      </w:r>
    </w:p>
    <w:p w:rsidR="00323780" w:rsidRDefault="00323780" w:rsidP="005F2345">
      <w:pPr>
        <w:spacing w:before="120"/>
        <w:ind w:firstLine="567"/>
        <w:jc w:val="both"/>
        <w:rPr>
          <w:sz w:val="28"/>
          <w:szCs w:val="28"/>
          <w:lang w:val="en-US"/>
        </w:rPr>
      </w:pPr>
    </w:p>
    <w:sectPr w:rsidR="00323780" w:rsidSect="00FD6B53">
      <w:headerReference w:type="default" r:id="rId8"/>
      <w:footerReference w:type="first" r:id="rId9"/>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5D" w:rsidRDefault="0097055D" w:rsidP="00F96048">
      <w:r>
        <w:separator/>
      </w:r>
    </w:p>
  </w:endnote>
  <w:endnote w:type="continuationSeparator" w:id="0">
    <w:p w:rsidR="0097055D" w:rsidRDefault="0097055D" w:rsidP="00F9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48" w:rsidRDefault="00F96048" w:rsidP="00F96048">
    <w:pPr>
      <w:pStyle w:val="Footer"/>
      <w:rPr>
        <w:lang w:val="en-US"/>
      </w:rPr>
    </w:pPr>
  </w:p>
  <w:p w:rsidR="00F96048" w:rsidRPr="00F96048" w:rsidRDefault="00F96048" w:rsidP="00F96048">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5D" w:rsidRDefault="0097055D" w:rsidP="00F96048">
      <w:r>
        <w:separator/>
      </w:r>
    </w:p>
  </w:footnote>
  <w:footnote w:type="continuationSeparator" w:id="0">
    <w:p w:rsidR="0097055D" w:rsidRDefault="0097055D" w:rsidP="00F96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91086"/>
      <w:docPartObj>
        <w:docPartGallery w:val="Page Numbers (Top of Page)"/>
        <w:docPartUnique/>
      </w:docPartObj>
    </w:sdtPr>
    <w:sdtEndPr>
      <w:rPr>
        <w:noProof/>
      </w:rPr>
    </w:sdtEndPr>
    <w:sdtContent>
      <w:p w:rsidR="00FE161F" w:rsidRDefault="00FE161F">
        <w:pPr>
          <w:pStyle w:val="Header"/>
          <w:jc w:val="center"/>
        </w:pPr>
        <w:r>
          <w:fldChar w:fldCharType="begin"/>
        </w:r>
        <w:r>
          <w:instrText xml:space="preserve"> PAGE   \* MERGEFORMAT </w:instrText>
        </w:r>
        <w:r>
          <w:fldChar w:fldCharType="separate"/>
        </w:r>
        <w:r w:rsidR="002A4E9A">
          <w:rPr>
            <w:noProof/>
          </w:rPr>
          <w:t>3</w:t>
        </w:r>
        <w:r>
          <w:rPr>
            <w:noProof/>
          </w:rPr>
          <w:fldChar w:fldCharType="end"/>
        </w:r>
      </w:p>
    </w:sdtContent>
  </w:sdt>
  <w:p w:rsidR="00FE161F" w:rsidRDefault="00FE16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9C"/>
    <w:multiLevelType w:val="hybridMultilevel"/>
    <w:tmpl w:val="AA2866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144104D"/>
    <w:multiLevelType w:val="hybridMultilevel"/>
    <w:tmpl w:val="DD221DF4"/>
    <w:lvl w:ilvl="0" w:tplc="04090001">
      <w:start w:val="1"/>
      <w:numFmt w:val="bullet"/>
      <w:lvlText w:val=""/>
      <w:lvlJc w:val="left"/>
      <w:pPr>
        <w:ind w:left="1817" w:hanging="360"/>
      </w:pPr>
      <w:rPr>
        <w:rFonts w:ascii="Symbol" w:hAnsi="Symbol"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2" w15:restartNumberingAfterBreak="0">
    <w:nsid w:val="11C27ECB"/>
    <w:multiLevelType w:val="hybridMultilevel"/>
    <w:tmpl w:val="4844E2D0"/>
    <w:lvl w:ilvl="0" w:tplc="D7545FB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3" w15:restartNumberingAfterBreak="0">
    <w:nsid w:val="1A613AF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9350C"/>
    <w:multiLevelType w:val="hybridMultilevel"/>
    <w:tmpl w:val="57F239B8"/>
    <w:lvl w:ilvl="0" w:tplc="4094D4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860F95"/>
    <w:multiLevelType w:val="hybridMultilevel"/>
    <w:tmpl w:val="868E9A76"/>
    <w:lvl w:ilvl="0" w:tplc="644293B8">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20D0768"/>
    <w:multiLevelType w:val="hybridMultilevel"/>
    <w:tmpl w:val="61AEB240"/>
    <w:lvl w:ilvl="0" w:tplc="DE10B1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11AB0"/>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2F045C02"/>
    <w:multiLevelType w:val="multilevel"/>
    <w:tmpl w:val="CD7234AE"/>
    <w:lvl w:ilvl="0">
      <w:start w:val="1"/>
      <w:numFmt w:val="decimal"/>
      <w:lvlText w:val="%1."/>
      <w:lvlJc w:val="left"/>
      <w:pPr>
        <w:ind w:left="360" w:hanging="360"/>
      </w:pPr>
      <w:rPr>
        <w:rFonts w:hint="default"/>
        <w:i w:val="0"/>
        <w:sz w:val="28"/>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32B3D93"/>
    <w:multiLevelType w:val="hybridMultilevel"/>
    <w:tmpl w:val="A0BA784C"/>
    <w:lvl w:ilvl="0" w:tplc="DEA61D48">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0" w15:restartNumberingAfterBreak="0">
    <w:nsid w:val="48EE1821"/>
    <w:multiLevelType w:val="hybridMultilevel"/>
    <w:tmpl w:val="BCB0282E"/>
    <w:lvl w:ilvl="0" w:tplc="3CBC80F8">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1" w15:restartNumberingAfterBreak="0">
    <w:nsid w:val="495760BF"/>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4C412150"/>
    <w:multiLevelType w:val="hybridMultilevel"/>
    <w:tmpl w:val="7D42C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FD14D9"/>
    <w:multiLevelType w:val="hybridMultilevel"/>
    <w:tmpl w:val="E6D8A122"/>
    <w:lvl w:ilvl="0" w:tplc="CE1E09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A110EC"/>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2E7CC0"/>
    <w:multiLevelType w:val="hybridMultilevel"/>
    <w:tmpl w:val="582E3514"/>
    <w:lvl w:ilvl="0" w:tplc="04090003">
      <w:start w:val="1"/>
      <w:numFmt w:val="bullet"/>
      <w:lvlText w:val="o"/>
      <w:lvlJc w:val="left"/>
      <w:pPr>
        <w:ind w:left="1817" w:hanging="360"/>
      </w:pPr>
      <w:rPr>
        <w:rFonts w:ascii="Courier New" w:hAnsi="Courier New" w:cs="Courier New"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16" w15:restartNumberingAfterBreak="0">
    <w:nsid w:val="5A7A4339"/>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7A4BE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3C2DD2"/>
    <w:multiLevelType w:val="hybridMultilevel"/>
    <w:tmpl w:val="B6B27762"/>
    <w:lvl w:ilvl="0" w:tplc="F408621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66BD2DA8"/>
    <w:multiLevelType w:val="multilevel"/>
    <w:tmpl w:val="76F875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24C2D56"/>
    <w:multiLevelType w:val="hybridMultilevel"/>
    <w:tmpl w:val="929CF4A2"/>
    <w:lvl w:ilvl="0" w:tplc="F3ACC77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0"/>
  </w:num>
  <w:num w:numId="4">
    <w:abstractNumId w:val="13"/>
  </w:num>
  <w:num w:numId="5">
    <w:abstractNumId w:val="2"/>
  </w:num>
  <w:num w:numId="6">
    <w:abstractNumId w:val="12"/>
  </w:num>
  <w:num w:numId="7">
    <w:abstractNumId w:val="4"/>
  </w:num>
  <w:num w:numId="8">
    <w:abstractNumId w:val="8"/>
  </w:num>
  <w:num w:numId="9">
    <w:abstractNumId w:val="15"/>
  </w:num>
  <w:num w:numId="10">
    <w:abstractNumId w:val="0"/>
  </w:num>
  <w:num w:numId="11">
    <w:abstractNumId w:val="1"/>
  </w:num>
  <w:num w:numId="12">
    <w:abstractNumId w:val="19"/>
  </w:num>
  <w:num w:numId="13">
    <w:abstractNumId w:val="18"/>
  </w:num>
  <w:num w:numId="14">
    <w:abstractNumId w:val="3"/>
  </w:num>
  <w:num w:numId="15">
    <w:abstractNumId w:val="11"/>
  </w:num>
  <w:num w:numId="16">
    <w:abstractNumId w:val="16"/>
  </w:num>
  <w:num w:numId="17">
    <w:abstractNumId w:val="9"/>
  </w:num>
  <w:num w:numId="18">
    <w:abstractNumId w:val="7"/>
  </w:num>
  <w:num w:numId="19">
    <w:abstractNumId w:val="14"/>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53"/>
    <w:rsid w:val="0000057A"/>
    <w:rsid w:val="000107C2"/>
    <w:rsid w:val="00013ED9"/>
    <w:rsid w:val="0001580B"/>
    <w:rsid w:val="00032501"/>
    <w:rsid w:val="0003278A"/>
    <w:rsid w:val="00034FC3"/>
    <w:rsid w:val="00037CBE"/>
    <w:rsid w:val="00043C50"/>
    <w:rsid w:val="00045DF7"/>
    <w:rsid w:val="00056A85"/>
    <w:rsid w:val="00057A33"/>
    <w:rsid w:val="0006217F"/>
    <w:rsid w:val="00067787"/>
    <w:rsid w:val="00071A9B"/>
    <w:rsid w:val="00073BF1"/>
    <w:rsid w:val="00082898"/>
    <w:rsid w:val="00082FD5"/>
    <w:rsid w:val="0009231D"/>
    <w:rsid w:val="000A4C4D"/>
    <w:rsid w:val="000C159D"/>
    <w:rsid w:val="000C746D"/>
    <w:rsid w:val="000D6C9C"/>
    <w:rsid w:val="000E092F"/>
    <w:rsid w:val="000E1902"/>
    <w:rsid w:val="00102CED"/>
    <w:rsid w:val="001059E9"/>
    <w:rsid w:val="0012001F"/>
    <w:rsid w:val="001339DD"/>
    <w:rsid w:val="0014274D"/>
    <w:rsid w:val="00142ADE"/>
    <w:rsid w:val="0014375B"/>
    <w:rsid w:val="00162532"/>
    <w:rsid w:val="00165D9E"/>
    <w:rsid w:val="00177677"/>
    <w:rsid w:val="001861C8"/>
    <w:rsid w:val="001A3533"/>
    <w:rsid w:val="001A5425"/>
    <w:rsid w:val="001A7093"/>
    <w:rsid w:val="001B5701"/>
    <w:rsid w:val="001B7C81"/>
    <w:rsid w:val="001C02EE"/>
    <w:rsid w:val="001D72C6"/>
    <w:rsid w:val="001E53E5"/>
    <w:rsid w:val="001F074E"/>
    <w:rsid w:val="001F3312"/>
    <w:rsid w:val="001F58D8"/>
    <w:rsid w:val="0021180D"/>
    <w:rsid w:val="0021685B"/>
    <w:rsid w:val="00224918"/>
    <w:rsid w:val="002311A6"/>
    <w:rsid w:val="00236EEE"/>
    <w:rsid w:val="0024036E"/>
    <w:rsid w:val="002470D4"/>
    <w:rsid w:val="00253E3D"/>
    <w:rsid w:val="0025416B"/>
    <w:rsid w:val="00255F11"/>
    <w:rsid w:val="00260BC1"/>
    <w:rsid w:val="00261014"/>
    <w:rsid w:val="00262C5B"/>
    <w:rsid w:val="00263ECA"/>
    <w:rsid w:val="002659DF"/>
    <w:rsid w:val="002711C3"/>
    <w:rsid w:val="002748EE"/>
    <w:rsid w:val="00275552"/>
    <w:rsid w:val="00284666"/>
    <w:rsid w:val="00285E9D"/>
    <w:rsid w:val="002A145B"/>
    <w:rsid w:val="002A2283"/>
    <w:rsid w:val="002A25E4"/>
    <w:rsid w:val="002A3C2A"/>
    <w:rsid w:val="002A4DFC"/>
    <w:rsid w:val="002A4E9A"/>
    <w:rsid w:val="002B048A"/>
    <w:rsid w:val="002B0DB1"/>
    <w:rsid w:val="002B203F"/>
    <w:rsid w:val="002B5CDB"/>
    <w:rsid w:val="002D3304"/>
    <w:rsid w:val="002D567E"/>
    <w:rsid w:val="002D5AF4"/>
    <w:rsid w:val="00306F96"/>
    <w:rsid w:val="0031005C"/>
    <w:rsid w:val="00321715"/>
    <w:rsid w:val="00323780"/>
    <w:rsid w:val="00340DA9"/>
    <w:rsid w:val="00351F43"/>
    <w:rsid w:val="003536BB"/>
    <w:rsid w:val="00357A4E"/>
    <w:rsid w:val="00361AFA"/>
    <w:rsid w:val="003623D7"/>
    <w:rsid w:val="003624E9"/>
    <w:rsid w:val="003745F3"/>
    <w:rsid w:val="00386015"/>
    <w:rsid w:val="003872AE"/>
    <w:rsid w:val="00387959"/>
    <w:rsid w:val="003929B9"/>
    <w:rsid w:val="003946E0"/>
    <w:rsid w:val="003A03E9"/>
    <w:rsid w:val="003A0759"/>
    <w:rsid w:val="003A1716"/>
    <w:rsid w:val="003A5734"/>
    <w:rsid w:val="003B2610"/>
    <w:rsid w:val="003B3D8D"/>
    <w:rsid w:val="003C13E9"/>
    <w:rsid w:val="003C47C1"/>
    <w:rsid w:val="003D02D3"/>
    <w:rsid w:val="003D0F6E"/>
    <w:rsid w:val="003D5287"/>
    <w:rsid w:val="003D5F28"/>
    <w:rsid w:val="003D6247"/>
    <w:rsid w:val="003D69CC"/>
    <w:rsid w:val="003E21B3"/>
    <w:rsid w:val="003E2D5A"/>
    <w:rsid w:val="003E353D"/>
    <w:rsid w:val="003E42F4"/>
    <w:rsid w:val="003E64AD"/>
    <w:rsid w:val="003F05AF"/>
    <w:rsid w:val="003F2C9E"/>
    <w:rsid w:val="003F7E22"/>
    <w:rsid w:val="004001A7"/>
    <w:rsid w:val="004018BB"/>
    <w:rsid w:val="00407136"/>
    <w:rsid w:val="00426BB7"/>
    <w:rsid w:val="00437AE3"/>
    <w:rsid w:val="00440587"/>
    <w:rsid w:val="004418BD"/>
    <w:rsid w:val="00445FE2"/>
    <w:rsid w:val="00450192"/>
    <w:rsid w:val="00450B0F"/>
    <w:rsid w:val="00464EA0"/>
    <w:rsid w:val="00481A39"/>
    <w:rsid w:val="00481DE5"/>
    <w:rsid w:val="004908DE"/>
    <w:rsid w:val="00494AF9"/>
    <w:rsid w:val="00494B56"/>
    <w:rsid w:val="004A17FB"/>
    <w:rsid w:val="004A2669"/>
    <w:rsid w:val="004A5908"/>
    <w:rsid w:val="004B0A46"/>
    <w:rsid w:val="004C7094"/>
    <w:rsid w:val="004E1EE2"/>
    <w:rsid w:val="004E5184"/>
    <w:rsid w:val="004E6C3E"/>
    <w:rsid w:val="004E7829"/>
    <w:rsid w:val="00513C4D"/>
    <w:rsid w:val="005159EF"/>
    <w:rsid w:val="00516CAB"/>
    <w:rsid w:val="00523791"/>
    <w:rsid w:val="00532AAA"/>
    <w:rsid w:val="00534BCF"/>
    <w:rsid w:val="005360F6"/>
    <w:rsid w:val="005651F5"/>
    <w:rsid w:val="005752DF"/>
    <w:rsid w:val="00580735"/>
    <w:rsid w:val="00595DD8"/>
    <w:rsid w:val="005B4776"/>
    <w:rsid w:val="005B6B5F"/>
    <w:rsid w:val="005C30CD"/>
    <w:rsid w:val="005C6861"/>
    <w:rsid w:val="005E7A63"/>
    <w:rsid w:val="005F19EA"/>
    <w:rsid w:val="005F2345"/>
    <w:rsid w:val="005F7864"/>
    <w:rsid w:val="00603058"/>
    <w:rsid w:val="00617648"/>
    <w:rsid w:val="0062198A"/>
    <w:rsid w:val="00624EE8"/>
    <w:rsid w:val="006359E4"/>
    <w:rsid w:val="00645A11"/>
    <w:rsid w:val="00646186"/>
    <w:rsid w:val="0065402C"/>
    <w:rsid w:val="00654C75"/>
    <w:rsid w:val="00656E54"/>
    <w:rsid w:val="00662A15"/>
    <w:rsid w:val="00670A9C"/>
    <w:rsid w:val="00670CC0"/>
    <w:rsid w:val="00674A3D"/>
    <w:rsid w:val="006A0D2F"/>
    <w:rsid w:val="006B22B5"/>
    <w:rsid w:val="006B407B"/>
    <w:rsid w:val="006C22D6"/>
    <w:rsid w:val="006F127C"/>
    <w:rsid w:val="006F5C25"/>
    <w:rsid w:val="006F631F"/>
    <w:rsid w:val="006F769A"/>
    <w:rsid w:val="00716437"/>
    <w:rsid w:val="007168EA"/>
    <w:rsid w:val="007203E2"/>
    <w:rsid w:val="00724AB3"/>
    <w:rsid w:val="00724F69"/>
    <w:rsid w:val="00737C87"/>
    <w:rsid w:val="00741832"/>
    <w:rsid w:val="007454BE"/>
    <w:rsid w:val="007652FF"/>
    <w:rsid w:val="00773CAB"/>
    <w:rsid w:val="0077504E"/>
    <w:rsid w:val="00775D2D"/>
    <w:rsid w:val="00780602"/>
    <w:rsid w:val="00782A1D"/>
    <w:rsid w:val="00782CA1"/>
    <w:rsid w:val="00787C56"/>
    <w:rsid w:val="007969D9"/>
    <w:rsid w:val="007C2797"/>
    <w:rsid w:val="007C27DC"/>
    <w:rsid w:val="007D4261"/>
    <w:rsid w:val="007D6C58"/>
    <w:rsid w:val="007E3A6B"/>
    <w:rsid w:val="007E57EB"/>
    <w:rsid w:val="007F3EB4"/>
    <w:rsid w:val="007F5C13"/>
    <w:rsid w:val="0080262C"/>
    <w:rsid w:val="00812824"/>
    <w:rsid w:val="008128FC"/>
    <w:rsid w:val="008149F7"/>
    <w:rsid w:val="0082082B"/>
    <w:rsid w:val="0082118F"/>
    <w:rsid w:val="00826024"/>
    <w:rsid w:val="008472BD"/>
    <w:rsid w:val="00870FB9"/>
    <w:rsid w:val="00874385"/>
    <w:rsid w:val="008755F7"/>
    <w:rsid w:val="008765F4"/>
    <w:rsid w:val="00880F4A"/>
    <w:rsid w:val="00883E5D"/>
    <w:rsid w:val="008A06BA"/>
    <w:rsid w:val="008A65E3"/>
    <w:rsid w:val="008B0E41"/>
    <w:rsid w:val="008B283C"/>
    <w:rsid w:val="008C45B5"/>
    <w:rsid w:val="008F733C"/>
    <w:rsid w:val="009110A1"/>
    <w:rsid w:val="00921811"/>
    <w:rsid w:val="00924C74"/>
    <w:rsid w:val="0092561C"/>
    <w:rsid w:val="00925C91"/>
    <w:rsid w:val="00936EF9"/>
    <w:rsid w:val="00936F62"/>
    <w:rsid w:val="00944364"/>
    <w:rsid w:val="00947DC9"/>
    <w:rsid w:val="00950122"/>
    <w:rsid w:val="009511C4"/>
    <w:rsid w:val="00956B3D"/>
    <w:rsid w:val="00960612"/>
    <w:rsid w:val="00962BB1"/>
    <w:rsid w:val="0097055D"/>
    <w:rsid w:val="009877C8"/>
    <w:rsid w:val="00987F53"/>
    <w:rsid w:val="0099290D"/>
    <w:rsid w:val="009A1326"/>
    <w:rsid w:val="009A6677"/>
    <w:rsid w:val="009B126A"/>
    <w:rsid w:val="009B59D6"/>
    <w:rsid w:val="009B60A3"/>
    <w:rsid w:val="009C22FA"/>
    <w:rsid w:val="009C4AC8"/>
    <w:rsid w:val="009D2508"/>
    <w:rsid w:val="009D515A"/>
    <w:rsid w:val="009D799B"/>
    <w:rsid w:val="009D7E42"/>
    <w:rsid w:val="009E0DF5"/>
    <w:rsid w:val="009E26D0"/>
    <w:rsid w:val="009E59A3"/>
    <w:rsid w:val="009E7213"/>
    <w:rsid w:val="009F3681"/>
    <w:rsid w:val="009F6F6D"/>
    <w:rsid w:val="00A03256"/>
    <w:rsid w:val="00A07984"/>
    <w:rsid w:val="00A178D1"/>
    <w:rsid w:val="00A216B0"/>
    <w:rsid w:val="00A216F1"/>
    <w:rsid w:val="00A26ED5"/>
    <w:rsid w:val="00A32794"/>
    <w:rsid w:val="00A45703"/>
    <w:rsid w:val="00A50984"/>
    <w:rsid w:val="00A55DF0"/>
    <w:rsid w:val="00A65C2E"/>
    <w:rsid w:val="00A71164"/>
    <w:rsid w:val="00A72177"/>
    <w:rsid w:val="00A73077"/>
    <w:rsid w:val="00A73CF7"/>
    <w:rsid w:val="00A76282"/>
    <w:rsid w:val="00A76BF4"/>
    <w:rsid w:val="00A76D13"/>
    <w:rsid w:val="00A8501F"/>
    <w:rsid w:val="00A95EA4"/>
    <w:rsid w:val="00A970AB"/>
    <w:rsid w:val="00AA5C36"/>
    <w:rsid w:val="00AB04EF"/>
    <w:rsid w:val="00AB2AB6"/>
    <w:rsid w:val="00AC3AAB"/>
    <w:rsid w:val="00AD47F1"/>
    <w:rsid w:val="00AD6538"/>
    <w:rsid w:val="00AE1B11"/>
    <w:rsid w:val="00AE56BD"/>
    <w:rsid w:val="00AE76B7"/>
    <w:rsid w:val="00AF0DC3"/>
    <w:rsid w:val="00AF1DE7"/>
    <w:rsid w:val="00AF762E"/>
    <w:rsid w:val="00B118A8"/>
    <w:rsid w:val="00B30F83"/>
    <w:rsid w:val="00B40142"/>
    <w:rsid w:val="00B42A80"/>
    <w:rsid w:val="00B43D95"/>
    <w:rsid w:val="00B463F0"/>
    <w:rsid w:val="00B529FE"/>
    <w:rsid w:val="00B53F39"/>
    <w:rsid w:val="00B55C1C"/>
    <w:rsid w:val="00B575A4"/>
    <w:rsid w:val="00B60089"/>
    <w:rsid w:val="00B64FF0"/>
    <w:rsid w:val="00B67B4E"/>
    <w:rsid w:val="00B73064"/>
    <w:rsid w:val="00B73830"/>
    <w:rsid w:val="00B8318D"/>
    <w:rsid w:val="00B86B0D"/>
    <w:rsid w:val="00B908C5"/>
    <w:rsid w:val="00B9498B"/>
    <w:rsid w:val="00BA0F10"/>
    <w:rsid w:val="00BA3574"/>
    <w:rsid w:val="00BA368C"/>
    <w:rsid w:val="00BA4BC9"/>
    <w:rsid w:val="00BA58EB"/>
    <w:rsid w:val="00BB1BE7"/>
    <w:rsid w:val="00BC0AA1"/>
    <w:rsid w:val="00BC293D"/>
    <w:rsid w:val="00BC55D7"/>
    <w:rsid w:val="00BC5956"/>
    <w:rsid w:val="00BD21E7"/>
    <w:rsid w:val="00BD3CA9"/>
    <w:rsid w:val="00BD45E7"/>
    <w:rsid w:val="00BD5453"/>
    <w:rsid w:val="00BE1503"/>
    <w:rsid w:val="00BE323B"/>
    <w:rsid w:val="00BE3E27"/>
    <w:rsid w:val="00BF2535"/>
    <w:rsid w:val="00C026DD"/>
    <w:rsid w:val="00C0637D"/>
    <w:rsid w:val="00C12D25"/>
    <w:rsid w:val="00C37730"/>
    <w:rsid w:val="00C53B9F"/>
    <w:rsid w:val="00C62EAE"/>
    <w:rsid w:val="00C64C95"/>
    <w:rsid w:val="00C64EEA"/>
    <w:rsid w:val="00C71625"/>
    <w:rsid w:val="00C7231B"/>
    <w:rsid w:val="00C75E15"/>
    <w:rsid w:val="00C7677F"/>
    <w:rsid w:val="00C800A7"/>
    <w:rsid w:val="00C90AF7"/>
    <w:rsid w:val="00C90E99"/>
    <w:rsid w:val="00C91AAC"/>
    <w:rsid w:val="00CA1584"/>
    <w:rsid w:val="00CA547B"/>
    <w:rsid w:val="00CB241F"/>
    <w:rsid w:val="00CB29CF"/>
    <w:rsid w:val="00CB4AE0"/>
    <w:rsid w:val="00CB59C9"/>
    <w:rsid w:val="00CB5BDB"/>
    <w:rsid w:val="00CD2193"/>
    <w:rsid w:val="00CD2CF2"/>
    <w:rsid w:val="00CD2D60"/>
    <w:rsid w:val="00CD4253"/>
    <w:rsid w:val="00CD6A1D"/>
    <w:rsid w:val="00CE74AF"/>
    <w:rsid w:val="00CF520C"/>
    <w:rsid w:val="00CF6265"/>
    <w:rsid w:val="00CF7BC6"/>
    <w:rsid w:val="00D00752"/>
    <w:rsid w:val="00D05F67"/>
    <w:rsid w:val="00D06FE6"/>
    <w:rsid w:val="00D10E2B"/>
    <w:rsid w:val="00D11321"/>
    <w:rsid w:val="00D4499C"/>
    <w:rsid w:val="00D47AAD"/>
    <w:rsid w:val="00D57E40"/>
    <w:rsid w:val="00D60965"/>
    <w:rsid w:val="00D61DC3"/>
    <w:rsid w:val="00D71148"/>
    <w:rsid w:val="00D75137"/>
    <w:rsid w:val="00D82789"/>
    <w:rsid w:val="00D9257B"/>
    <w:rsid w:val="00D9430F"/>
    <w:rsid w:val="00D94EE4"/>
    <w:rsid w:val="00DA39AB"/>
    <w:rsid w:val="00DA5C9F"/>
    <w:rsid w:val="00DB39B6"/>
    <w:rsid w:val="00DC2E47"/>
    <w:rsid w:val="00DC4E88"/>
    <w:rsid w:val="00DD1B11"/>
    <w:rsid w:val="00DD520C"/>
    <w:rsid w:val="00DE4808"/>
    <w:rsid w:val="00E0764E"/>
    <w:rsid w:val="00E12583"/>
    <w:rsid w:val="00E13F58"/>
    <w:rsid w:val="00E273B7"/>
    <w:rsid w:val="00E35649"/>
    <w:rsid w:val="00E45EA7"/>
    <w:rsid w:val="00E50AD5"/>
    <w:rsid w:val="00E621EB"/>
    <w:rsid w:val="00E66CF3"/>
    <w:rsid w:val="00E673E3"/>
    <w:rsid w:val="00E70AB6"/>
    <w:rsid w:val="00E745D0"/>
    <w:rsid w:val="00E7537D"/>
    <w:rsid w:val="00E76955"/>
    <w:rsid w:val="00E83541"/>
    <w:rsid w:val="00E84DB8"/>
    <w:rsid w:val="00E85E9B"/>
    <w:rsid w:val="00E86749"/>
    <w:rsid w:val="00E91E71"/>
    <w:rsid w:val="00EA1B15"/>
    <w:rsid w:val="00EB6DAB"/>
    <w:rsid w:val="00EB7017"/>
    <w:rsid w:val="00EB7E36"/>
    <w:rsid w:val="00EC0270"/>
    <w:rsid w:val="00EC3ECC"/>
    <w:rsid w:val="00ED3DEA"/>
    <w:rsid w:val="00ED5F95"/>
    <w:rsid w:val="00EE0894"/>
    <w:rsid w:val="00EE39A4"/>
    <w:rsid w:val="00EE5CD4"/>
    <w:rsid w:val="00EE7AD6"/>
    <w:rsid w:val="00F073A1"/>
    <w:rsid w:val="00F0745F"/>
    <w:rsid w:val="00F16759"/>
    <w:rsid w:val="00F230C3"/>
    <w:rsid w:val="00F307B4"/>
    <w:rsid w:val="00F34939"/>
    <w:rsid w:val="00F351C2"/>
    <w:rsid w:val="00F41C8D"/>
    <w:rsid w:val="00F4229C"/>
    <w:rsid w:val="00F4565B"/>
    <w:rsid w:val="00F55E05"/>
    <w:rsid w:val="00F62037"/>
    <w:rsid w:val="00F67B28"/>
    <w:rsid w:val="00F726F2"/>
    <w:rsid w:val="00F752A3"/>
    <w:rsid w:val="00F80D06"/>
    <w:rsid w:val="00F8598A"/>
    <w:rsid w:val="00F9182D"/>
    <w:rsid w:val="00F96048"/>
    <w:rsid w:val="00FA524C"/>
    <w:rsid w:val="00FB0236"/>
    <w:rsid w:val="00FB3D9C"/>
    <w:rsid w:val="00FB5D7E"/>
    <w:rsid w:val="00FB68CF"/>
    <w:rsid w:val="00FC7246"/>
    <w:rsid w:val="00FD5B62"/>
    <w:rsid w:val="00FD6B53"/>
    <w:rsid w:val="00FE161F"/>
    <w:rsid w:val="00FE572D"/>
    <w:rsid w:val="00FE7868"/>
    <w:rsid w:val="00FF1A7D"/>
    <w:rsid w:val="00FF390A"/>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4066C"/>
  <w15:chartTrackingRefBased/>
  <w15:docId w15:val="{2D8A10F0-7AC1-4D20-9974-62CC9D41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F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339DD"/>
    <w:rPr>
      <w:i/>
      <w:iCs/>
    </w:rPr>
  </w:style>
  <w:style w:type="paragraph" w:styleId="BalloonText">
    <w:name w:val="Balloon Text"/>
    <w:basedOn w:val="Normal"/>
    <w:link w:val="BalloonTextChar"/>
    <w:rsid w:val="00960612"/>
    <w:rPr>
      <w:rFonts w:ascii="Tahoma" w:hAnsi="Tahoma" w:cs="Tahoma"/>
      <w:sz w:val="16"/>
      <w:szCs w:val="16"/>
    </w:rPr>
  </w:style>
  <w:style w:type="character" w:customStyle="1" w:styleId="BalloonTextChar">
    <w:name w:val="Balloon Text Char"/>
    <w:link w:val="BalloonText"/>
    <w:rsid w:val="00960612"/>
    <w:rPr>
      <w:rFonts w:ascii="Tahoma" w:hAnsi="Tahoma" w:cs="Tahoma"/>
      <w:sz w:val="16"/>
      <w:szCs w:val="16"/>
      <w:lang w:val="vi-VN" w:eastAsia="vi-VN"/>
    </w:rPr>
  </w:style>
  <w:style w:type="paragraph" w:styleId="Header">
    <w:name w:val="header"/>
    <w:basedOn w:val="Normal"/>
    <w:link w:val="HeaderChar"/>
    <w:uiPriority w:val="99"/>
    <w:rsid w:val="00F96048"/>
    <w:pPr>
      <w:tabs>
        <w:tab w:val="center" w:pos="4680"/>
        <w:tab w:val="right" w:pos="9360"/>
      </w:tabs>
    </w:pPr>
  </w:style>
  <w:style w:type="character" w:customStyle="1" w:styleId="HeaderChar">
    <w:name w:val="Header Char"/>
    <w:link w:val="Header"/>
    <w:uiPriority w:val="99"/>
    <w:rsid w:val="00F96048"/>
    <w:rPr>
      <w:sz w:val="24"/>
      <w:szCs w:val="24"/>
      <w:lang w:val="vi-VN" w:eastAsia="vi-VN"/>
    </w:rPr>
  </w:style>
  <w:style w:type="paragraph" w:styleId="Footer">
    <w:name w:val="footer"/>
    <w:basedOn w:val="Normal"/>
    <w:link w:val="FooterChar"/>
    <w:uiPriority w:val="99"/>
    <w:rsid w:val="00F96048"/>
    <w:pPr>
      <w:tabs>
        <w:tab w:val="center" w:pos="4680"/>
        <w:tab w:val="right" w:pos="9360"/>
      </w:tabs>
    </w:pPr>
  </w:style>
  <w:style w:type="character" w:customStyle="1" w:styleId="FooterChar">
    <w:name w:val="Footer Char"/>
    <w:link w:val="Footer"/>
    <w:uiPriority w:val="99"/>
    <w:rsid w:val="00F96048"/>
    <w:rPr>
      <w:sz w:val="24"/>
      <w:szCs w:val="24"/>
      <w:lang w:val="vi-VN" w:eastAsia="vi-VN"/>
    </w:rPr>
  </w:style>
  <w:style w:type="paragraph" w:styleId="ListParagraph">
    <w:name w:val="List Paragraph"/>
    <w:basedOn w:val="Normal"/>
    <w:uiPriority w:val="34"/>
    <w:qFormat/>
    <w:rsid w:val="00A72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5492">
      <w:bodyDiv w:val="1"/>
      <w:marLeft w:val="0"/>
      <w:marRight w:val="0"/>
      <w:marTop w:val="0"/>
      <w:marBottom w:val="0"/>
      <w:divBdr>
        <w:top w:val="none" w:sz="0" w:space="0" w:color="auto"/>
        <w:left w:val="none" w:sz="0" w:space="0" w:color="auto"/>
        <w:bottom w:val="none" w:sz="0" w:space="0" w:color="auto"/>
        <w:right w:val="none" w:sz="0" w:space="0" w:color="auto"/>
      </w:divBdr>
    </w:div>
    <w:div w:id="12417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47034-E878-451E-9F60-5AF1D5B5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BAN QUẢN LÝ</vt:lpstr>
    </vt:vector>
  </TitlesOfParts>
  <Company>HOME</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QUẢN LÝ</dc:title>
  <dc:subject/>
  <dc:creator>DIEULINH</dc:creator>
  <cp:keywords/>
  <cp:lastModifiedBy>HuongDD</cp:lastModifiedBy>
  <cp:revision>34</cp:revision>
  <cp:lastPrinted>2021-01-15T03:40:00Z</cp:lastPrinted>
  <dcterms:created xsi:type="dcterms:W3CDTF">2020-10-08T08:24:00Z</dcterms:created>
  <dcterms:modified xsi:type="dcterms:W3CDTF">2022-07-08T08:08:00Z</dcterms:modified>
</cp:coreProperties>
</file>