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7C" w:rsidRDefault="00956B3D" w:rsidP="00CD142F">
      <w:pPr>
        <w:widowControl w:val="0"/>
        <w:jc w:val="center"/>
        <w:rPr>
          <w:b/>
          <w:sz w:val="28"/>
          <w:szCs w:val="28"/>
          <w:lang w:val="en-US" w:eastAsia="en-US"/>
        </w:rPr>
      </w:pPr>
      <w:r w:rsidRPr="00956B3D">
        <w:rPr>
          <w:b/>
          <w:sz w:val="28"/>
          <w:szCs w:val="28"/>
          <w:lang w:val="en-US" w:eastAsia="en-US"/>
        </w:rPr>
        <w:t>THUYẾT M</w:t>
      </w:r>
      <w:r w:rsidR="006C257C">
        <w:rPr>
          <w:b/>
          <w:sz w:val="28"/>
          <w:szCs w:val="28"/>
          <w:lang w:val="en-US" w:eastAsia="en-US"/>
        </w:rPr>
        <w:t>INH TÌNH HÌNH THỰC HIỆN DỰ TOÁN</w:t>
      </w:r>
    </w:p>
    <w:p w:rsidR="00DA4A81" w:rsidRDefault="00956B3D" w:rsidP="00CD142F">
      <w:pPr>
        <w:widowControl w:val="0"/>
        <w:jc w:val="center"/>
        <w:rPr>
          <w:b/>
          <w:sz w:val="28"/>
          <w:szCs w:val="28"/>
          <w:lang w:val="en-US" w:eastAsia="en-US"/>
        </w:rPr>
      </w:pPr>
      <w:r w:rsidRPr="00956B3D">
        <w:rPr>
          <w:b/>
          <w:sz w:val="28"/>
          <w:szCs w:val="28"/>
          <w:lang w:val="en-US" w:eastAsia="en-US"/>
        </w:rPr>
        <w:t xml:space="preserve">NGÂN SÁCH NHÀ NƯỚC </w:t>
      </w:r>
      <w:r w:rsidR="00BE19F8">
        <w:rPr>
          <w:b/>
          <w:sz w:val="28"/>
          <w:szCs w:val="28"/>
          <w:lang w:val="en-US" w:eastAsia="en-US"/>
        </w:rPr>
        <w:t xml:space="preserve">QÚY </w:t>
      </w:r>
      <w:r w:rsidR="00DA4A81">
        <w:rPr>
          <w:b/>
          <w:sz w:val="28"/>
          <w:szCs w:val="28"/>
          <w:lang w:val="en-US" w:eastAsia="en-US"/>
        </w:rPr>
        <w:t>I</w:t>
      </w:r>
      <w:r w:rsidR="00730530">
        <w:rPr>
          <w:b/>
          <w:sz w:val="28"/>
          <w:szCs w:val="28"/>
          <w:lang w:val="en-US" w:eastAsia="en-US"/>
        </w:rPr>
        <w:t>I</w:t>
      </w:r>
      <w:r w:rsidR="00DA4A81">
        <w:rPr>
          <w:b/>
          <w:sz w:val="28"/>
          <w:szCs w:val="28"/>
          <w:lang w:val="en-US" w:eastAsia="en-US"/>
        </w:rPr>
        <w:t xml:space="preserve">I VÀ </w:t>
      </w:r>
      <w:r w:rsidR="00730530">
        <w:rPr>
          <w:b/>
          <w:sz w:val="28"/>
          <w:szCs w:val="28"/>
          <w:lang w:val="en-US" w:eastAsia="en-US"/>
        </w:rPr>
        <w:t>9</w:t>
      </w:r>
      <w:r w:rsidR="00DA4A81">
        <w:rPr>
          <w:b/>
          <w:sz w:val="28"/>
          <w:szCs w:val="28"/>
          <w:lang w:val="en-US" w:eastAsia="en-US"/>
        </w:rPr>
        <w:t xml:space="preserve"> THÁNG ĐẦU NĂM 2024</w:t>
      </w:r>
    </w:p>
    <w:p w:rsidR="00E50AD5" w:rsidRDefault="00A970AB" w:rsidP="00CD142F">
      <w:pPr>
        <w:widowControl w:val="0"/>
        <w:jc w:val="center"/>
        <w:rPr>
          <w:b/>
          <w:sz w:val="28"/>
          <w:szCs w:val="28"/>
          <w:lang w:val="en-US" w:eastAsia="en-US"/>
        </w:rPr>
      </w:pPr>
      <w:r>
        <w:rPr>
          <w:b/>
          <w:sz w:val="28"/>
          <w:szCs w:val="28"/>
          <w:lang w:val="en-US" w:eastAsia="en-US"/>
        </w:rPr>
        <w:t>CỦA</w:t>
      </w:r>
      <w:r w:rsidR="00B73830">
        <w:rPr>
          <w:b/>
          <w:sz w:val="28"/>
          <w:szCs w:val="28"/>
          <w:lang w:val="en-US" w:eastAsia="en-US"/>
        </w:rPr>
        <w:t xml:space="preserve"> </w:t>
      </w:r>
      <w:r>
        <w:rPr>
          <w:b/>
          <w:sz w:val="28"/>
          <w:szCs w:val="28"/>
          <w:lang w:val="en-US" w:eastAsia="en-US"/>
        </w:rPr>
        <w:t>BAN QUẢN LÝ KHU C</w:t>
      </w:r>
      <w:r w:rsidR="006C257C">
        <w:rPr>
          <w:b/>
          <w:sz w:val="28"/>
          <w:szCs w:val="28"/>
          <w:lang w:val="en-US" w:eastAsia="en-US"/>
        </w:rPr>
        <w:t>ÔNG NGHỆ CAO</w:t>
      </w:r>
      <w:r>
        <w:rPr>
          <w:b/>
          <w:sz w:val="28"/>
          <w:szCs w:val="28"/>
          <w:lang w:val="en-US" w:eastAsia="en-US"/>
        </w:rPr>
        <w:t xml:space="preserve"> HÒA LẠC</w:t>
      </w:r>
    </w:p>
    <w:p w:rsidR="007C2797" w:rsidRDefault="00730530" w:rsidP="00CD142F">
      <w:pPr>
        <w:widowControl w:val="0"/>
        <w:jc w:val="center"/>
        <w:rPr>
          <w:i/>
          <w:sz w:val="28"/>
          <w:szCs w:val="28"/>
          <w:lang w:val="en-US" w:eastAsia="en-US"/>
        </w:rPr>
      </w:pPr>
      <w:r w:rsidRPr="00960612">
        <w:rPr>
          <w:i/>
          <w:sz w:val="28"/>
          <w:szCs w:val="28"/>
          <w:lang w:val="en-US" w:eastAsia="en-US"/>
        </w:rPr>
        <w:t>(Kèm theo văn</w:t>
      </w:r>
      <w:r>
        <w:rPr>
          <w:i/>
          <w:sz w:val="28"/>
          <w:szCs w:val="28"/>
          <w:lang w:val="en-US" w:eastAsia="en-US"/>
        </w:rPr>
        <w:t xml:space="preserve"> bản số   </w:t>
      </w:r>
      <w:r w:rsidR="00CD142F">
        <w:rPr>
          <w:i/>
          <w:sz w:val="28"/>
          <w:szCs w:val="28"/>
          <w:lang w:val="en-US" w:eastAsia="en-US"/>
        </w:rPr>
        <w:t xml:space="preserve">   </w:t>
      </w:r>
      <w:r>
        <w:rPr>
          <w:i/>
          <w:sz w:val="28"/>
          <w:szCs w:val="28"/>
          <w:lang w:val="en-US" w:eastAsia="en-US"/>
        </w:rPr>
        <w:t xml:space="preserve">    /</w:t>
      </w:r>
      <w:r>
        <w:rPr>
          <w:i/>
          <w:sz w:val="28"/>
          <w:szCs w:val="28"/>
          <w:lang w:val="en-US" w:eastAsia="en-US"/>
        </w:rPr>
        <w:t>CNCHL-KHTC</w:t>
      </w:r>
      <w:r>
        <w:rPr>
          <w:i/>
          <w:sz w:val="28"/>
          <w:szCs w:val="28"/>
          <w:lang w:val="en-US" w:eastAsia="en-US"/>
        </w:rPr>
        <w:t xml:space="preserve"> ngày </w:t>
      </w:r>
      <w:r w:rsidR="00CD142F">
        <w:rPr>
          <w:i/>
          <w:sz w:val="28"/>
          <w:szCs w:val="28"/>
          <w:lang w:val="en-US" w:eastAsia="en-US"/>
        </w:rPr>
        <w:t xml:space="preserve">  </w:t>
      </w:r>
      <w:r>
        <w:rPr>
          <w:i/>
          <w:sz w:val="28"/>
          <w:szCs w:val="28"/>
          <w:lang w:val="en-US" w:eastAsia="en-US"/>
        </w:rPr>
        <w:t xml:space="preserve">    tháng 10</w:t>
      </w:r>
      <w:r w:rsidRPr="00960612">
        <w:rPr>
          <w:i/>
          <w:sz w:val="28"/>
          <w:szCs w:val="28"/>
          <w:lang w:val="en-US" w:eastAsia="en-US"/>
        </w:rPr>
        <w:t xml:space="preserve"> năm 20</w:t>
      </w:r>
      <w:r>
        <w:rPr>
          <w:i/>
          <w:sz w:val="28"/>
          <w:szCs w:val="28"/>
          <w:lang w:val="en-US" w:eastAsia="en-US"/>
        </w:rPr>
        <w:t>24</w:t>
      </w:r>
      <w:r w:rsidR="00CD142F">
        <w:rPr>
          <w:i/>
          <w:sz w:val="28"/>
          <w:szCs w:val="28"/>
          <w:lang w:val="en-US" w:eastAsia="en-US"/>
        </w:rPr>
        <w:br/>
        <w:t>của Ban Quản lý Khu Cô</w:t>
      </w:r>
      <w:r>
        <w:rPr>
          <w:i/>
          <w:sz w:val="28"/>
          <w:szCs w:val="28"/>
          <w:lang w:val="en-US" w:eastAsia="en-US"/>
        </w:rPr>
        <w:t>ng nghệ cao Hòa Lạc</w:t>
      </w:r>
      <w:r w:rsidRPr="00960612">
        <w:rPr>
          <w:i/>
          <w:sz w:val="28"/>
          <w:szCs w:val="28"/>
          <w:lang w:val="en-US" w:eastAsia="en-US"/>
        </w:rPr>
        <w:t>)</w:t>
      </w:r>
    </w:p>
    <w:p w:rsidR="00730530" w:rsidRDefault="00730530" w:rsidP="00883A1F">
      <w:pPr>
        <w:widowControl w:val="0"/>
        <w:ind w:firstLine="720"/>
        <w:jc w:val="center"/>
        <w:rPr>
          <w:b/>
          <w:sz w:val="28"/>
          <w:szCs w:val="28"/>
          <w:lang w:val="en-US"/>
        </w:rPr>
      </w:pPr>
    </w:p>
    <w:p w:rsidR="007A6A58" w:rsidRDefault="007A6A58" w:rsidP="00730530">
      <w:pPr>
        <w:spacing w:before="120"/>
        <w:ind w:firstLine="567"/>
        <w:jc w:val="both"/>
        <w:rPr>
          <w:b/>
          <w:sz w:val="28"/>
          <w:szCs w:val="28"/>
          <w:lang w:val="en-US"/>
        </w:rPr>
      </w:pPr>
    </w:p>
    <w:p w:rsidR="00F34210" w:rsidRPr="001C02EE" w:rsidRDefault="00F34210" w:rsidP="00730530">
      <w:pPr>
        <w:spacing w:before="120"/>
        <w:ind w:firstLine="567"/>
        <w:jc w:val="both"/>
        <w:rPr>
          <w:b/>
          <w:sz w:val="28"/>
          <w:szCs w:val="28"/>
          <w:lang w:val="en-US"/>
        </w:rPr>
      </w:pPr>
      <w:r>
        <w:rPr>
          <w:b/>
          <w:sz w:val="28"/>
          <w:szCs w:val="28"/>
          <w:lang w:val="en-US"/>
        </w:rPr>
        <w:t xml:space="preserve">A. </w:t>
      </w:r>
      <w:r w:rsidRPr="001C02EE">
        <w:rPr>
          <w:b/>
          <w:sz w:val="28"/>
          <w:szCs w:val="28"/>
          <w:lang w:val="en-US"/>
        </w:rPr>
        <w:t xml:space="preserve">ĐÁNH GIÁ </w:t>
      </w:r>
      <w:r>
        <w:rPr>
          <w:b/>
          <w:sz w:val="28"/>
          <w:szCs w:val="28"/>
          <w:lang w:val="en-US"/>
        </w:rPr>
        <w:t>T</w:t>
      </w:r>
      <w:r w:rsidRPr="00BA4BC9">
        <w:rPr>
          <w:b/>
          <w:sz w:val="28"/>
          <w:szCs w:val="28"/>
          <w:lang w:val="en-US"/>
        </w:rPr>
        <w:t>ÌNH</w:t>
      </w:r>
      <w:r>
        <w:rPr>
          <w:b/>
          <w:sz w:val="28"/>
          <w:szCs w:val="28"/>
          <w:lang w:val="en-US"/>
        </w:rPr>
        <w:t xml:space="preserve"> H</w:t>
      </w:r>
      <w:r w:rsidRPr="00BA4BC9">
        <w:rPr>
          <w:b/>
          <w:sz w:val="28"/>
          <w:szCs w:val="28"/>
          <w:lang w:val="en-US"/>
        </w:rPr>
        <w:t>ÌNH</w:t>
      </w:r>
      <w:r>
        <w:rPr>
          <w:b/>
          <w:sz w:val="28"/>
          <w:szCs w:val="28"/>
          <w:lang w:val="en-US"/>
        </w:rPr>
        <w:t xml:space="preserve"> TH</w:t>
      </w:r>
      <w:r w:rsidRPr="00BA4BC9">
        <w:rPr>
          <w:b/>
          <w:sz w:val="28"/>
          <w:szCs w:val="28"/>
          <w:lang w:val="en-US"/>
        </w:rPr>
        <w:t>ỰC</w:t>
      </w:r>
      <w:r>
        <w:rPr>
          <w:b/>
          <w:sz w:val="28"/>
          <w:szCs w:val="28"/>
          <w:lang w:val="en-US"/>
        </w:rPr>
        <w:t xml:space="preserve"> HI</w:t>
      </w:r>
      <w:r w:rsidRPr="00BA4BC9">
        <w:rPr>
          <w:b/>
          <w:sz w:val="28"/>
          <w:szCs w:val="28"/>
          <w:lang w:val="en-US"/>
        </w:rPr>
        <w:t>ỆN</w:t>
      </w:r>
      <w:r>
        <w:rPr>
          <w:b/>
          <w:sz w:val="28"/>
          <w:szCs w:val="28"/>
          <w:lang w:val="en-US"/>
        </w:rPr>
        <w:t xml:space="preserve"> </w:t>
      </w:r>
      <w:r w:rsidR="00730530">
        <w:rPr>
          <w:b/>
          <w:sz w:val="28"/>
          <w:szCs w:val="28"/>
          <w:lang w:val="en-US"/>
        </w:rPr>
        <w:t xml:space="preserve">DỰ TOÁN THU – CHI NGÂN SÁCH </w:t>
      </w:r>
      <w:r w:rsidRPr="001C02EE">
        <w:rPr>
          <w:b/>
          <w:sz w:val="28"/>
          <w:szCs w:val="28"/>
          <w:lang w:val="en-US"/>
        </w:rPr>
        <w:t xml:space="preserve">QUÝ </w:t>
      </w:r>
      <w:r>
        <w:rPr>
          <w:b/>
          <w:sz w:val="28"/>
          <w:szCs w:val="28"/>
          <w:lang w:val="en-US"/>
        </w:rPr>
        <w:t>I</w:t>
      </w:r>
      <w:r w:rsidR="00730530">
        <w:rPr>
          <w:b/>
          <w:sz w:val="28"/>
          <w:szCs w:val="28"/>
          <w:lang w:val="en-US"/>
        </w:rPr>
        <w:t>I</w:t>
      </w:r>
      <w:r>
        <w:rPr>
          <w:b/>
          <w:sz w:val="28"/>
          <w:szCs w:val="28"/>
          <w:lang w:val="en-US"/>
        </w:rPr>
        <w:t xml:space="preserve">I NĂM </w:t>
      </w:r>
      <w:r w:rsidRPr="001C02EE">
        <w:rPr>
          <w:b/>
          <w:sz w:val="28"/>
          <w:szCs w:val="28"/>
          <w:lang w:val="en-US"/>
        </w:rPr>
        <w:t>20</w:t>
      </w:r>
      <w:r>
        <w:rPr>
          <w:b/>
          <w:sz w:val="28"/>
          <w:szCs w:val="28"/>
          <w:lang w:val="en-US"/>
        </w:rPr>
        <w:t>24</w:t>
      </w:r>
    </w:p>
    <w:p w:rsidR="00BA1C21" w:rsidRPr="001516A2" w:rsidRDefault="00730530" w:rsidP="00730530">
      <w:pPr>
        <w:widowControl w:val="0"/>
        <w:spacing w:before="120"/>
        <w:ind w:firstLine="567"/>
        <w:jc w:val="both"/>
        <w:rPr>
          <w:b/>
          <w:caps/>
          <w:sz w:val="28"/>
          <w:szCs w:val="28"/>
          <w:lang w:val="en-US"/>
        </w:rPr>
      </w:pPr>
      <w:r>
        <w:rPr>
          <w:b/>
          <w:sz w:val="28"/>
          <w:szCs w:val="28"/>
          <w:lang w:val="en-US"/>
        </w:rPr>
        <w:t>I. T</w:t>
      </w:r>
      <w:r w:rsidRPr="001516A2">
        <w:rPr>
          <w:b/>
          <w:sz w:val="28"/>
          <w:szCs w:val="28"/>
          <w:lang w:val="en-US"/>
        </w:rPr>
        <w:t>ình hình thực hiện dự toán thu, chi, nộp ngân sách phí, lệ phí.</w:t>
      </w:r>
    </w:p>
    <w:p w:rsidR="00730530" w:rsidRDefault="00730530" w:rsidP="00730530">
      <w:pPr>
        <w:spacing w:before="120"/>
        <w:ind w:firstLine="720"/>
        <w:jc w:val="both"/>
        <w:rPr>
          <w:sz w:val="28"/>
          <w:szCs w:val="28"/>
          <w:lang w:val="en-US"/>
        </w:rPr>
      </w:pPr>
      <w:r w:rsidRPr="0057609E">
        <w:rPr>
          <w:sz w:val="28"/>
          <w:szCs w:val="28"/>
          <w:lang w:val="en-US"/>
        </w:rPr>
        <w:t xml:space="preserve">Trong </w:t>
      </w:r>
      <w:r>
        <w:rPr>
          <w:sz w:val="28"/>
          <w:szCs w:val="28"/>
          <w:lang w:val="en-US"/>
        </w:rPr>
        <w:t xml:space="preserve">quý </w:t>
      </w:r>
      <w:r>
        <w:rPr>
          <w:sz w:val="28"/>
          <w:szCs w:val="28"/>
          <w:lang w:val="en-US"/>
        </w:rPr>
        <w:t xml:space="preserve">III năm </w:t>
      </w:r>
      <w:r>
        <w:rPr>
          <w:sz w:val="28"/>
          <w:szCs w:val="28"/>
          <w:lang w:val="en-US"/>
        </w:rPr>
        <w:t>2024, tổng số thu và nộp ngân sách nhà nước từ nguồn thu Phí, Lệ phí là 73,</w:t>
      </w:r>
      <w:r w:rsidRPr="00730530">
        <w:rPr>
          <w:sz w:val="28"/>
          <w:szCs w:val="28"/>
          <w:lang w:val="en-US"/>
        </w:rPr>
        <w:t xml:space="preserve">1 triệu </w:t>
      </w:r>
      <w:r>
        <w:rPr>
          <w:sz w:val="28"/>
          <w:szCs w:val="28"/>
          <w:lang w:val="en-US"/>
        </w:rPr>
        <w:t>đồng.</w:t>
      </w:r>
    </w:p>
    <w:p w:rsidR="00730530" w:rsidRDefault="00730530" w:rsidP="00730530">
      <w:pPr>
        <w:spacing w:before="120"/>
        <w:ind w:firstLine="720"/>
        <w:jc w:val="both"/>
        <w:rPr>
          <w:sz w:val="28"/>
          <w:szCs w:val="28"/>
          <w:lang w:val="en-US"/>
        </w:rPr>
      </w:pPr>
      <w:r>
        <w:rPr>
          <w:sz w:val="28"/>
          <w:szCs w:val="28"/>
          <w:lang w:val="en-US"/>
        </w:rPr>
        <w:t>Nguyên nhân</w:t>
      </w:r>
      <w:r>
        <w:rPr>
          <w:sz w:val="28"/>
          <w:szCs w:val="28"/>
          <w:lang w:val="en-US"/>
        </w:rPr>
        <w:t xml:space="preserve">: Quý </w:t>
      </w:r>
      <w:r>
        <w:rPr>
          <w:sz w:val="28"/>
          <w:szCs w:val="28"/>
          <w:lang w:val="en-US"/>
        </w:rPr>
        <w:t xml:space="preserve">III năm </w:t>
      </w:r>
      <w:r>
        <w:rPr>
          <w:sz w:val="28"/>
          <w:szCs w:val="28"/>
          <w:lang w:val="en-US"/>
        </w:rPr>
        <w:t>2024 mặc dù phát sinh giảm không phải thu lệ phí thủ tục hành chính: Cấp mới, cấp gia hạn và cấp lại giấy phép lao động cho người nước ngoài làm việc tại doanh ngh</w:t>
      </w:r>
      <w:r w:rsidR="00304166">
        <w:rPr>
          <w:sz w:val="28"/>
          <w:szCs w:val="28"/>
          <w:lang w:val="en-US"/>
        </w:rPr>
        <w:t>iệp trong Khu CNC Hòa Lạc theo Q</w:t>
      </w:r>
      <w:r>
        <w:rPr>
          <w:sz w:val="28"/>
          <w:szCs w:val="28"/>
          <w:lang w:val="en-US"/>
        </w:rPr>
        <w:t>uyết định số 2641/QĐ-UBND ngày 21/5/2024</w:t>
      </w:r>
      <w:r w:rsidR="00304166">
        <w:rPr>
          <w:sz w:val="28"/>
          <w:szCs w:val="28"/>
          <w:lang w:val="en-US"/>
        </w:rPr>
        <w:t xml:space="preserve"> của UBND t</w:t>
      </w:r>
      <w:r>
        <w:rPr>
          <w:sz w:val="28"/>
          <w:szCs w:val="28"/>
          <w:lang w:val="en-US"/>
        </w:rPr>
        <w:t>hành phố Hà Nội nhưng phát sinh tăng thu phí TTHC của loại phí:</w:t>
      </w:r>
      <w:r w:rsidR="00304166">
        <w:rPr>
          <w:sz w:val="28"/>
          <w:szCs w:val="28"/>
          <w:lang w:val="en-US"/>
        </w:rPr>
        <w:t xml:space="preserve"> T</w:t>
      </w:r>
      <w:r>
        <w:rPr>
          <w:sz w:val="28"/>
          <w:szCs w:val="28"/>
          <w:lang w:val="en-US"/>
        </w:rPr>
        <w:t>hẩm định báo cáo nghiên cứu khả thi đầu tư xây dựng và phí thẩm định đồ án quy hoạch mặt bằng (quy hoạch chi tiết xây dựng theo quy trình rút gọn</w:t>
      </w:r>
      <w:r w:rsidR="00304166">
        <w:rPr>
          <w:sz w:val="28"/>
          <w:szCs w:val="28"/>
          <w:lang w:val="en-US"/>
        </w:rPr>
        <w:t>).</w:t>
      </w:r>
    </w:p>
    <w:p w:rsidR="001C02EE" w:rsidRPr="001C02EE" w:rsidRDefault="00730530" w:rsidP="00730530">
      <w:pPr>
        <w:widowControl w:val="0"/>
        <w:spacing w:before="120"/>
        <w:ind w:firstLine="567"/>
        <w:jc w:val="both"/>
        <w:rPr>
          <w:b/>
          <w:sz w:val="28"/>
          <w:szCs w:val="28"/>
          <w:lang w:val="en-US"/>
        </w:rPr>
      </w:pPr>
      <w:r>
        <w:rPr>
          <w:b/>
          <w:sz w:val="28"/>
          <w:szCs w:val="28"/>
          <w:lang w:val="en-US"/>
        </w:rPr>
        <w:t>II. Đ</w:t>
      </w:r>
      <w:r w:rsidRPr="001C02EE">
        <w:rPr>
          <w:b/>
          <w:sz w:val="28"/>
          <w:szCs w:val="28"/>
          <w:lang w:val="en-US"/>
        </w:rPr>
        <w:t xml:space="preserve">ánh giá </w:t>
      </w:r>
      <w:r>
        <w:rPr>
          <w:b/>
          <w:sz w:val="28"/>
          <w:szCs w:val="28"/>
          <w:lang w:val="en-US"/>
        </w:rPr>
        <w:t>t</w:t>
      </w:r>
      <w:r w:rsidRPr="00BA4BC9">
        <w:rPr>
          <w:b/>
          <w:sz w:val="28"/>
          <w:szCs w:val="28"/>
          <w:lang w:val="en-US"/>
        </w:rPr>
        <w:t>ình</w:t>
      </w:r>
      <w:r>
        <w:rPr>
          <w:b/>
          <w:sz w:val="28"/>
          <w:szCs w:val="28"/>
          <w:lang w:val="en-US"/>
        </w:rPr>
        <w:t xml:space="preserve"> h</w:t>
      </w:r>
      <w:r w:rsidRPr="00BA4BC9">
        <w:rPr>
          <w:b/>
          <w:sz w:val="28"/>
          <w:szCs w:val="28"/>
          <w:lang w:val="en-US"/>
        </w:rPr>
        <w:t>ình</w:t>
      </w:r>
      <w:r>
        <w:rPr>
          <w:b/>
          <w:sz w:val="28"/>
          <w:szCs w:val="28"/>
          <w:lang w:val="en-US"/>
        </w:rPr>
        <w:t xml:space="preserve"> th</w:t>
      </w:r>
      <w:r w:rsidRPr="00BA4BC9">
        <w:rPr>
          <w:b/>
          <w:sz w:val="28"/>
          <w:szCs w:val="28"/>
          <w:lang w:val="en-US"/>
        </w:rPr>
        <w:t>ực</w:t>
      </w:r>
      <w:r>
        <w:rPr>
          <w:b/>
          <w:sz w:val="28"/>
          <w:szCs w:val="28"/>
          <w:lang w:val="en-US"/>
        </w:rPr>
        <w:t xml:space="preserve"> hi</w:t>
      </w:r>
      <w:r w:rsidRPr="00BA4BC9">
        <w:rPr>
          <w:b/>
          <w:sz w:val="28"/>
          <w:szCs w:val="28"/>
          <w:lang w:val="en-US"/>
        </w:rPr>
        <w:t>ện</w:t>
      </w:r>
      <w:r>
        <w:rPr>
          <w:b/>
          <w:sz w:val="28"/>
          <w:szCs w:val="28"/>
          <w:lang w:val="en-US"/>
        </w:rPr>
        <w:t xml:space="preserve"> </w:t>
      </w:r>
      <w:r w:rsidRPr="001C02EE">
        <w:rPr>
          <w:b/>
          <w:sz w:val="28"/>
          <w:szCs w:val="28"/>
          <w:lang w:val="en-US"/>
        </w:rPr>
        <w:t xml:space="preserve">trong quý </w:t>
      </w:r>
      <w:r w:rsidR="00304166">
        <w:rPr>
          <w:b/>
          <w:sz w:val="28"/>
          <w:szCs w:val="28"/>
          <w:lang w:val="en-US"/>
        </w:rPr>
        <w:t>III</w:t>
      </w:r>
      <w:r>
        <w:rPr>
          <w:b/>
          <w:sz w:val="28"/>
          <w:szCs w:val="28"/>
          <w:lang w:val="en-US"/>
        </w:rPr>
        <w:t xml:space="preserve"> năm </w:t>
      </w:r>
      <w:r w:rsidRPr="001C02EE">
        <w:rPr>
          <w:b/>
          <w:sz w:val="28"/>
          <w:szCs w:val="28"/>
          <w:lang w:val="en-US"/>
        </w:rPr>
        <w:t>20</w:t>
      </w:r>
      <w:r>
        <w:rPr>
          <w:b/>
          <w:sz w:val="28"/>
          <w:szCs w:val="28"/>
          <w:lang w:val="en-US"/>
        </w:rPr>
        <w:t>24</w:t>
      </w:r>
    </w:p>
    <w:p w:rsidR="00730530" w:rsidRPr="00555573" w:rsidRDefault="00730530" w:rsidP="00730530">
      <w:pPr>
        <w:spacing w:before="120"/>
        <w:ind w:firstLine="720"/>
        <w:jc w:val="both"/>
        <w:rPr>
          <w:color w:val="000000"/>
          <w:sz w:val="28"/>
          <w:szCs w:val="28"/>
          <w:lang w:val="en-US"/>
        </w:rPr>
      </w:pPr>
      <w:r w:rsidRPr="00555573">
        <w:rPr>
          <w:color w:val="000000"/>
          <w:sz w:val="28"/>
          <w:szCs w:val="28"/>
          <w:lang w:val="en-US"/>
        </w:rPr>
        <w:t>Tổng dự toán chi NSNN năm 2024</w:t>
      </w:r>
      <w:r>
        <w:rPr>
          <w:color w:val="000000"/>
          <w:sz w:val="28"/>
          <w:szCs w:val="28"/>
          <w:lang w:val="en-US"/>
        </w:rPr>
        <w:t xml:space="preserve"> </w:t>
      </w:r>
      <w:r w:rsidR="00304166">
        <w:rPr>
          <w:color w:val="000000"/>
          <w:sz w:val="28"/>
          <w:szCs w:val="28"/>
          <w:lang w:val="en-US"/>
        </w:rPr>
        <w:t xml:space="preserve">được </w:t>
      </w:r>
      <w:r>
        <w:rPr>
          <w:color w:val="000000"/>
          <w:sz w:val="28"/>
          <w:szCs w:val="28"/>
          <w:lang w:val="en-US"/>
        </w:rPr>
        <w:t xml:space="preserve">giao </w:t>
      </w:r>
      <w:r w:rsidRPr="00555573">
        <w:rPr>
          <w:color w:val="000000"/>
          <w:sz w:val="28"/>
          <w:szCs w:val="28"/>
          <w:lang w:val="en-US"/>
        </w:rPr>
        <w:t xml:space="preserve">là: </w:t>
      </w:r>
      <w:r w:rsidR="00662523">
        <w:rPr>
          <w:color w:val="000000"/>
          <w:sz w:val="28"/>
          <w:szCs w:val="28"/>
          <w:lang w:val="en-US"/>
        </w:rPr>
        <w:t>40</w:t>
      </w:r>
      <w:r w:rsidR="00304166">
        <w:rPr>
          <w:color w:val="000000"/>
          <w:sz w:val="28"/>
          <w:szCs w:val="28"/>
          <w:lang w:val="en-US"/>
        </w:rPr>
        <w:t>.</w:t>
      </w:r>
      <w:r w:rsidR="00662523">
        <w:rPr>
          <w:color w:val="000000"/>
          <w:sz w:val="28"/>
          <w:szCs w:val="28"/>
          <w:lang w:val="en-US"/>
        </w:rPr>
        <w:t>636</w:t>
      </w:r>
      <w:r w:rsidRPr="00555573">
        <w:rPr>
          <w:color w:val="000000"/>
          <w:sz w:val="28"/>
          <w:szCs w:val="28"/>
          <w:lang w:val="en-US"/>
        </w:rPr>
        <w:t xml:space="preserve"> triệu đồng.</w:t>
      </w:r>
      <w:r>
        <w:rPr>
          <w:color w:val="000000"/>
          <w:sz w:val="28"/>
          <w:szCs w:val="28"/>
          <w:lang w:val="en-US"/>
        </w:rPr>
        <w:t xml:space="preserve"> Quý </w:t>
      </w:r>
      <w:r w:rsidR="00304166">
        <w:rPr>
          <w:color w:val="000000"/>
          <w:sz w:val="28"/>
          <w:szCs w:val="28"/>
          <w:lang w:val="en-US"/>
        </w:rPr>
        <w:t>III</w:t>
      </w:r>
      <w:r>
        <w:rPr>
          <w:color w:val="000000"/>
          <w:sz w:val="28"/>
          <w:szCs w:val="28"/>
          <w:lang w:val="en-US"/>
        </w:rPr>
        <w:t xml:space="preserve"> phát sinh giảm dự toán do thực hiện tiết kiệm 5% chi thường xuyên.</w:t>
      </w:r>
    </w:p>
    <w:p w:rsidR="00730530" w:rsidRPr="00555573" w:rsidRDefault="00730530" w:rsidP="00730530">
      <w:pPr>
        <w:spacing w:before="120"/>
        <w:ind w:firstLine="720"/>
        <w:jc w:val="both"/>
        <w:rPr>
          <w:color w:val="000000"/>
          <w:sz w:val="28"/>
          <w:szCs w:val="28"/>
          <w:lang w:val="en-US"/>
        </w:rPr>
      </w:pPr>
      <w:r w:rsidRPr="00555573">
        <w:rPr>
          <w:color w:val="000000"/>
          <w:sz w:val="28"/>
          <w:szCs w:val="28"/>
          <w:lang w:val="en-US"/>
        </w:rPr>
        <w:t xml:space="preserve">Trong đó, Quý </w:t>
      </w:r>
      <w:r w:rsidR="00304166">
        <w:rPr>
          <w:color w:val="000000"/>
          <w:sz w:val="28"/>
          <w:szCs w:val="28"/>
          <w:lang w:val="en-US"/>
        </w:rPr>
        <w:t xml:space="preserve">III năm </w:t>
      </w:r>
      <w:r w:rsidRPr="00555573">
        <w:rPr>
          <w:color w:val="000000"/>
          <w:sz w:val="28"/>
          <w:szCs w:val="28"/>
          <w:lang w:val="en-US"/>
        </w:rPr>
        <w:t xml:space="preserve">2024 đã chi </w:t>
      </w:r>
      <w:r w:rsidR="00304166">
        <w:rPr>
          <w:color w:val="000000"/>
          <w:sz w:val="28"/>
          <w:szCs w:val="28"/>
          <w:lang w:val="en-US"/>
        </w:rPr>
        <w:t>4.413</w:t>
      </w:r>
      <w:r w:rsidRPr="00555573">
        <w:rPr>
          <w:color w:val="000000"/>
          <w:sz w:val="28"/>
          <w:szCs w:val="28"/>
          <w:lang w:val="en-US"/>
        </w:rPr>
        <w:t xml:space="preserve"> triệu đồng, đạt </w:t>
      </w:r>
      <w:r>
        <w:rPr>
          <w:color w:val="000000"/>
          <w:sz w:val="28"/>
          <w:szCs w:val="28"/>
          <w:lang w:val="en-US"/>
        </w:rPr>
        <w:t>1</w:t>
      </w:r>
      <w:r w:rsidR="00304166">
        <w:rPr>
          <w:color w:val="000000"/>
          <w:sz w:val="28"/>
          <w:szCs w:val="28"/>
          <w:lang w:val="en-US"/>
        </w:rPr>
        <w:t>3</w:t>
      </w:r>
      <w:r>
        <w:rPr>
          <w:color w:val="000000"/>
          <w:sz w:val="28"/>
          <w:szCs w:val="28"/>
          <w:lang w:val="en-US"/>
        </w:rPr>
        <w:t>,</w:t>
      </w:r>
      <w:r w:rsidR="00304166">
        <w:rPr>
          <w:color w:val="000000"/>
          <w:sz w:val="28"/>
          <w:szCs w:val="28"/>
          <w:lang w:val="en-US"/>
        </w:rPr>
        <w:t>22</w:t>
      </w:r>
      <w:r w:rsidRPr="00555573">
        <w:rPr>
          <w:color w:val="000000"/>
          <w:sz w:val="28"/>
          <w:szCs w:val="28"/>
          <w:lang w:val="en-US"/>
        </w:rPr>
        <w:t xml:space="preserve">%  so với dự toán năm 2024, bằng </w:t>
      </w:r>
      <w:r w:rsidR="00304166">
        <w:rPr>
          <w:color w:val="000000"/>
          <w:sz w:val="28"/>
          <w:szCs w:val="28"/>
          <w:lang w:val="en-US"/>
        </w:rPr>
        <w:t>64,53</w:t>
      </w:r>
      <w:r w:rsidRPr="00555573">
        <w:rPr>
          <w:color w:val="000000"/>
          <w:sz w:val="28"/>
          <w:szCs w:val="28"/>
          <w:lang w:val="en-US"/>
        </w:rPr>
        <w:t xml:space="preserve">% so với mức chi cùng kỳ năm 2023 (Giảm </w:t>
      </w:r>
      <w:r w:rsidR="00304166">
        <w:rPr>
          <w:color w:val="000000"/>
          <w:sz w:val="28"/>
          <w:szCs w:val="28"/>
          <w:lang w:val="en-US"/>
        </w:rPr>
        <w:t>35</w:t>
      </w:r>
      <w:r w:rsidRPr="00555573">
        <w:rPr>
          <w:color w:val="000000"/>
          <w:sz w:val="28"/>
          <w:szCs w:val="28"/>
          <w:lang w:val="en-US"/>
        </w:rPr>
        <w:t>,</w:t>
      </w:r>
      <w:r w:rsidR="00304166">
        <w:rPr>
          <w:color w:val="000000"/>
          <w:sz w:val="28"/>
          <w:szCs w:val="28"/>
          <w:lang w:val="en-US"/>
        </w:rPr>
        <w:t>47</w:t>
      </w:r>
      <w:r w:rsidRPr="00555573">
        <w:rPr>
          <w:color w:val="000000"/>
          <w:sz w:val="28"/>
          <w:szCs w:val="28"/>
          <w:lang w:val="en-US"/>
        </w:rPr>
        <w:t>% so với cùng kỳ năm 2023).</w:t>
      </w:r>
    </w:p>
    <w:p w:rsidR="00730530" w:rsidRPr="00ED3DEA" w:rsidRDefault="00730530" w:rsidP="00730530">
      <w:pPr>
        <w:spacing w:before="120"/>
        <w:ind w:firstLine="720"/>
        <w:jc w:val="both"/>
        <w:rPr>
          <w:sz w:val="28"/>
          <w:szCs w:val="28"/>
          <w:lang w:val="en-US"/>
        </w:rPr>
      </w:pPr>
      <w:r>
        <w:rPr>
          <w:sz w:val="28"/>
          <w:szCs w:val="28"/>
          <w:lang w:val="en-US"/>
        </w:rPr>
        <w:t>Bao gồm:</w:t>
      </w:r>
    </w:p>
    <w:p w:rsidR="00730530" w:rsidRDefault="00730530" w:rsidP="00730530">
      <w:pPr>
        <w:numPr>
          <w:ilvl w:val="0"/>
          <w:numId w:val="14"/>
        </w:numPr>
        <w:tabs>
          <w:tab w:val="left" w:pos="720"/>
        </w:tabs>
        <w:spacing w:before="120"/>
        <w:jc w:val="both"/>
        <w:rPr>
          <w:i/>
          <w:sz w:val="28"/>
          <w:szCs w:val="28"/>
          <w:lang w:val="en-US"/>
        </w:rPr>
      </w:pPr>
      <w:r w:rsidRPr="00D62712">
        <w:rPr>
          <w:b/>
          <w:i/>
          <w:sz w:val="28"/>
          <w:szCs w:val="28"/>
          <w:lang w:val="en-US"/>
        </w:rPr>
        <w:t>Chi quản lý hành chính</w:t>
      </w:r>
      <w:r w:rsidRPr="00D62712">
        <w:rPr>
          <w:i/>
          <w:sz w:val="28"/>
          <w:szCs w:val="28"/>
          <w:lang w:val="en-US"/>
        </w:rPr>
        <w:t xml:space="preserve">: </w:t>
      </w:r>
    </w:p>
    <w:p w:rsidR="00730530" w:rsidRPr="00555573" w:rsidRDefault="00730530" w:rsidP="00730530">
      <w:pPr>
        <w:spacing w:before="120"/>
        <w:ind w:firstLine="720"/>
        <w:jc w:val="both"/>
        <w:rPr>
          <w:color w:val="000000"/>
          <w:sz w:val="28"/>
          <w:szCs w:val="28"/>
          <w:lang w:val="en-US"/>
        </w:rPr>
      </w:pPr>
      <w:r w:rsidRPr="00555573">
        <w:rPr>
          <w:color w:val="000000"/>
          <w:sz w:val="28"/>
          <w:szCs w:val="28"/>
          <w:lang w:val="en-US"/>
        </w:rPr>
        <w:t xml:space="preserve">Dự toán chi QLHC năm 2024 được giao </w:t>
      </w:r>
      <w:r>
        <w:rPr>
          <w:color w:val="000000"/>
          <w:sz w:val="28"/>
          <w:szCs w:val="28"/>
          <w:lang w:val="en-US"/>
        </w:rPr>
        <w:t>sau khi thực hiện trừ tiết kiệm 5% dự toán giao là 19.322</w:t>
      </w:r>
      <w:r w:rsidRPr="00555573">
        <w:rPr>
          <w:color w:val="000000"/>
          <w:sz w:val="28"/>
          <w:szCs w:val="28"/>
          <w:lang w:val="en-US"/>
        </w:rPr>
        <w:t xml:space="preserve"> triệu đồng, quý </w:t>
      </w:r>
      <w:r w:rsidR="00304166">
        <w:rPr>
          <w:color w:val="000000"/>
          <w:sz w:val="28"/>
          <w:szCs w:val="28"/>
          <w:lang w:val="en-US"/>
        </w:rPr>
        <w:t>III</w:t>
      </w:r>
      <w:r w:rsidRPr="00555573">
        <w:rPr>
          <w:color w:val="000000"/>
          <w:sz w:val="28"/>
          <w:szCs w:val="28"/>
          <w:lang w:val="en-US"/>
        </w:rPr>
        <w:t xml:space="preserve">/2024 đã chi </w:t>
      </w:r>
      <w:r>
        <w:rPr>
          <w:color w:val="000000"/>
          <w:sz w:val="28"/>
          <w:szCs w:val="28"/>
          <w:lang w:val="en-US"/>
        </w:rPr>
        <w:t>3.186</w:t>
      </w:r>
      <w:r w:rsidRPr="00555573">
        <w:rPr>
          <w:color w:val="000000"/>
          <w:sz w:val="28"/>
          <w:szCs w:val="28"/>
          <w:lang w:val="en-US"/>
        </w:rPr>
        <w:t xml:space="preserve"> triệu đồng, đạt 1</w:t>
      </w:r>
      <w:r>
        <w:rPr>
          <w:color w:val="000000"/>
          <w:sz w:val="28"/>
          <w:szCs w:val="28"/>
          <w:lang w:val="en-US"/>
        </w:rPr>
        <w:t>6</w:t>
      </w:r>
      <w:r w:rsidRPr="00555573">
        <w:rPr>
          <w:color w:val="000000"/>
          <w:sz w:val="28"/>
          <w:szCs w:val="28"/>
          <w:lang w:val="en-US"/>
        </w:rPr>
        <w:t>,</w:t>
      </w:r>
      <w:r>
        <w:rPr>
          <w:color w:val="000000"/>
          <w:sz w:val="28"/>
          <w:szCs w:val="28"/>
          <w:lang w:val="en-US"/>
        </w:rPr>
        <w:t>49</w:t>
      </w:r>
      <w:r w:rsidRPr="00555573">
        <w:rPr>
          <w:color w:val="000000"/>
          <w:sz w:val="28"/>
          <w:szCs w:val="28"/>
          <w:lang w:val="en-US"/>
        </w:rPr>
        <w:t xml:space="preserve">%  so với dự toán năm 2024, bằng </w:t>
      </w:r>
      <w:r>
        <w:rPr>
          <w:color w:val="000000"/>
          <w:sz w:val="28"/>
          <w:szCs w:val="28"/>
          <w:lang w:val="en-US"/>
        </w:rPr>
        <w:t>99</w:t>
      </w:r>
      <w:r w:rsidRPr="00555573">
        <w:rPr>
          <w:color w:val="000000"/>
          <w:sz w:val="28"/>
          <w:szCs w:val="28"/>
          <w:lang w:val="en-US"/>
        </w:rPr>
        <w:t>,</w:t>
      </w:r>
      <w:r>
        <w:rPr>
          <w:color w:val="000000"/>
          <w:sz w:val="28"/>
          <w:szCs w:val="28"/>
          <w:lang w:val="en-US"/>
        </w:rPr>
        <w:t>90</w:t>
      </w:r>
      <w:r w:rsidRPr="00555573">
        <w:rPr>
          <w:color w:val="000000"/>
          <w:sz w:val="28"/>
          <w:szCs w:val="28"/>
          <w:lang w:val="en-US"/>
        </w:rPr>
        <w:t xml:space="preserve">% so với mức chi cùng kỳ năm 2023, giảm </w:t>
      </w:r>
      <w:r>
        <w:rPr>
          <w:color w:val="000000"/>
          <w:sz w:val="28"/>
          <w:szCs w:val="28"/>
          <w:lang w:val="en-US"/>
        </w:rPr>
        <w:t>0</w:t>
      </w:r>
      <w:r w:rsidRPr="00555573">
        <w:rPr>
          <w:color w:val="000000"/>
          <w:sz w:val="28"/>
          <w:szCs w:val="28"/>
          <w:lang w:val="en-US"/>
        </w:rPr>
        <w:t>,</w:t>
      </w:r>
      <w:r>
        <w:rPr>
          <w:color w:val="000000"/>
          <w:sz w:val="28"/>
          <w:szCs w:val="28"/>
          <w:lang w:val="en-US"/>
        </w:rPr>
        <w:t>10</w:t>
      </w:r>
      <w:r w:rsidRPr="00555573">
        <w:rPr>
          <w:color w:val="000000"/>
          <w:sz w:val="28"/>
          <w:szCs w:val="28"/>
          <w:lang w:val="en-US"/>
        </w:rPr>
        <w:t>% so với cùng kỳ năm 2023.</w:t>
      </w:r>
    </w:p>
    <w:p w:rsidR="00730530" w:rsidRPr="00555573" w:rsidRDefault="00730530" w:rsidP="00730530">
      <w:pPr>
        <w:spacing w:before="120"/>
        <w:ind w:firstLine="720"/>
        <w:jc w:val="both"/>
        <w:rPr>
          <w:color w:val="000000"/>
          <w:sz w:val="28"/>
          <w:szCs w:val="28"/>
          <w:lang w:val="en-US"/>
        </w:rPr>
      </w:pPr>
      <w:r w:rsidRPr="00555573">
        <w:rPr>
          <w:color w:val="000000"/>
          <w:sz w:val="28"/>
          <w:szCs w:val="28"/>
          <w:lang w:val="en-US"/>
        </w:rPr>
        <w:t>Trong đó:</w:t>
      </w:r>
    </w:p>
    <w:p w:rsidR="00730530" w:rsidRDefault="00730530" w:rsidP="00730530">
      <w:pPr>
        <w:tabs>
          <w:tab w:val="left" w:pos="720"/>
        </w:tabs>
        <w:spacing w:before="120"/>
        <w:jc w:val="both"/>
        <w:rPr>
          <w:sz w:val="28"/>
          <w:szCs w:val="28"/>
          <w:lang w:val="en-US"/>
        </w:rPr>
      </w:pPr>
      <w:r>
        <w:rPr>
          <w:b/>
          <w:sz w:val="28"/>
          <w:szCs w:val="28"/>
          <w:lang w:val="en-US"/>
        </w:rPr>
        <w:tab/>
      </w:r>
      <w:r w:rsidRPr="0074337E">
        <w:rPr>
          <w:i/>
          <w:sz w:val="28"/>
          <w:szCs w:val="28"/>
          <w:lang w:val="en-US"/>
        </w:rPr>
        <w:t>- Kinh phí thực hiện chế độ tự chủ</w:t>
      </w:r>
      <w:r>
        <w:rPr>
          <w:sz w:val="28"/>
          <w:szCs w:val="28"/>
          <w:lang w:val="en-US"/>
        </w:rPr>
        <w:t xml:space="preserve">: Quý </w:t>
      </w:r>
      <w:r w:rsidR="00304166">
        <w:rPr>
          <w:sz w:val="28"/>
          <w:szCs w:val="28"/>
          <w:lang w:val="en-US"/>
        </w:rPr>
        <w:t>III</w:t>
      </w:r>
      <w:r>
        <w:rPr>
          <w:sz w:val="28"/>
          <w:szCs w:val="28"/>
          <w:lang w:val="en-US"/>
        </w:rPr>
        <w:t>/2024 đ</w:t>
      </w:r>
      <w:r w:rsidRPr="00162532">
        <w:rPr>
          <w:sz w:val="28"/>
          <w:szCs w:val="28"/>
          <w:lang w:val="en-US"/>
        </w:rPr>
        <w:t>ã</w:t>
      </w:r>
      <w:r>
        <w:rPr>
          <w:sz w:val="28"/>
          <w:szCs w:val="28"/>
          <w:lang w:val="en-US"/>
        </w:rPr>
        <w:t xml:space="preserve"> chi 1.903 triệu đồng, đạt 15,83% so với dự toán n</w:t>
      </w:r>
      <w:r w:rsidRPr="001F074E">
        <w:rPr>
          <w:sz w:val="28"/>
          <w:szCs w:val="28"/>
          <w:lang w:val="en-US"/>
        </w:rPr>
        <w:t>ă</w:t>
      </w:r>
      <w:r>
        <w:rPr>
          <w:sz w:val="28"/>
          <w:szCs w:val="28"/>
          <w:lang w:val="en-US"/>
        </w:rPr>
        <w:t xml:space="preserve">m và bằng 69,34%  so với cùng kỳ năm 2023, như vậy giảm 30,66% mức chi so với cùng kỳ năm trước. </w:t>
      </w:r>
    </w:p>
    <w:p w:rsidR="00730530" w:rsidRDefault="00730530" w:rsidP="00730530">
      <w:pPr>
        <w:tabs>
          <w:tab w:val="left" w:pos="720"/>
        </w:tabs>
        <w:spacing w:before="120"/>
        <w:ind w:left="90"/>
        <w:jc w:val="both"/>
        <w:rPr>
          <w:sz w:val="28"/>
          <w:szCs w:val="28"/>
          <w:lang w:val="en-US"/>
        </w:rPr>
      </w:pPr>
      <w:r>
        <w:rPr>
          <w:sz w:val="28"/>
          <w:szCs w:val="28"/>
          <w:lang w:val="en-US"/>
        </w:rPr>
        <w:tab/>
        <w:t>Nguyên nhân giảm so với cùng kỳ năm 2023: Kinh phí chi trả cho các khoản lương và phụ cấp lương biên chế giảm so với cùng kỳ năm 2023 vì số lượng biên chế thực có mặt ít hơn 05 người do chuyển công tác. Năm 2024 được giao kinh phí cải cách tiền lương từ nguồn không tự chủ. D</w:t>
      </w:r>
      <w:r w:rsidR="00304166">
        <w:rPr>
          <w:sz w:val="28"/>
          <w:szCs w:val="28"/>
          <w:lang w:val="en-US"/>
        </w:rPr>
        <w:t>o vậy, quý III</w:t>
      </w:r>
      <w:r>
        <w:rPr>
          <w:sz w:val="28"/>
          <w:szCs w:val="28"/>
          <w:lang w:val="en-US"/>
        </w:rPr>
        <w:t xml:space="preserve">/2024 </w:t>
      </w:r>
      <w:r>
        <w:rPr>
          <w:sz w:val="28"/>
          <w:szCs w:val="28"/>
          <w:lang w:val="en-US"/>
        </w:rPr>
        <w:lastRenderedPageBreak/>
        <w:t>thực hiện chi trả các khoản lương và phụ cấp theo lương đối với phần cải cách tiền lương (từ mức lương cơ sở 1.490.000 đồng lên 2.340.000 đồng) cho cán bộ biên chế từ nguồn kinh phí không tự chủ nên tỷ lệ chi từ nguồn tự chủ giảm so với cùng kỳ năm trước. Mặc dù, cải cách tiền lương thực hiện từ 01/7/2024 (từ mức lương cơ sở 1.800.000 đồng lên mức 2.34</w:t>
      </w:r>
      <w:r w:rsidR="00304166">
        <w:rPr>
          <w:sz w:val="28"/>
          <w:szCs w:val="28"/>
          <w:lang w:val="en-US"/>
        </w:rPr>
        <w:t>0.000 đồng) nhưng hiện tại Ban Q</w:t>
      </w:r>
      <w:r>
        <w:rPr>
          <w:sz w:val="28"/>
          <w:szCs w:val="28"/>
          <w:lang w:val="en-US"/>
        </w:rPr>
        <w:t>uản lý vẫn chi trả thu nhập h</w:t>
      </w:r>
      <w:r w:rsidR="00304166">
        <w:rPr>
          <w:sz w:val="28"/>
          <w:szCs w:val="28"/>
          <w:lang w:val="en-US"/>
        </w:rPr>
        <w:t>ằ</w:t>
      </w:r>
      <w:r>
        <w:rPr>
          <w:sz w:val="28"/>
          <w:szCs w:val="28"/>
          <w:lang w:val="en-US"/>
        </w:rPr>
        <w:t xml:space="preserve">ng tháng tính theo mức lương cơ sở 2.340.000 đồng/tháng bảo đảm không vượt quá mức tiền lương và thu nhập tăng thêm được hưởng của tháng 6/2024 (thời điểm áp dụng mức lương cơ sở 1.800.000 đồng) theo quy định tại Nghị định </w:t>
      </w:r>
      <w:r w:rsidR="00304166">
        <w:rPr>
          <w:sz w:val="28"/>
          <w:szCs w:val="28"/>
          <w:lang w:val="en-US"/>
        </w:rPr>
        <w:t xml:space="preserve">số </w:t>
      </w:r>
      <w:r>
        <w:rPr>
          <w:sz w:val="28"/>
          <w:szCs w:val="28"/>
          <w:lang w:val="en-US"/>
        </w:rPr>
        <w:t>73/2024/NĐ-CP ngày 30/6/2024.</w:t>
      </w:r>
    </w:p>
    <w:p w:rsidR="00730530" w:rsidRDefault="00730530" w:rsidP="00730530">
      <w:pPr>
        <w:tabs>
          <w:tab w:val="left" w:pos="720"/>
        </w:tabs>
        <w:spacing w:before="120"/>
        <w:ind w:left="90"/>
        <w:jc w:val="both"/>
        <w:rPr>
          <w:sz w:val="28"/>
          <w:szCs w:val="28"/>
          <w:lang w:val="en-US"/>
        </w:rPr>
      </w:pPr>
      <w:r>
        <w:rPr>
          <w:sz w:val="28"/>
          <w:szCs w:val="28"/>
          <w:lang w:val="en-US"/>
        </w:rPr>
        <w:tab/>
        <w:t xml:space="preserve">- </w:t>
      </w:r>
      <w:r w:rsidRPr="00D711EC">
        <w:rPr>
          <w:i/>
          <w:sz w:val="28"/>
          <w:szCs w:val="28"/>
          <w:lang w:val="en-US"/>
        </w:rPr>
        <w:t>Kinh phí thực hiện chế độ không tự chủ</w:t>
      </w:r>
      <w:r>
        <w:rPr>
          <w:sz w:val="28"/>
          <w:szCs w:val="28"/>
          <w:lang w:val="en-US"/>
        </w:rPr>
        <w:t xml:space="preserve">: Quý </w:t>
      </w:r>
      <w:r w:rsidR="00304166">
        <w:rPr>
          <w:sz w:val="28"/>
          <w:szCs w:val="28"/>
          <w:lang w:val="en-US"/>
        </w:rPr>
        <w:t>III</w:t>
      </w:r>
      <w:r>
        <w:rPr>
          <w:sz w:val="28"/>
          <w:szCs w:val="28"/>
          <w:lang w:val="en-US"/>
        </w:rPr>
        <w:t xml:space="preserve">/2024 </w:t>
      </w:r>
      <w:r w:rsidRPr="00162532">
        <w:rPr>
          <w:sz w:val="28"/>
          <w:szCs w:val="28"/>
          <w:lang w:val="en-US"/>
        </w:rPr>
        <w:t>đã</w:t>
      </w:r>
      <w:r>
        <w:rPr>
          <w:sz w:val="28"/>
          <w:szCs w:val="28"/>
          <w:lang w:val="en-US"/>
        </w:rPr>
        <w:t xml:space="preserve"> chi 1.283 triệu đồng, đạt 17,57% so với dự toán n</w:t>
      </w:r>
      <w:r w:rsidRPr="001F074E">
        <w:rPr>
          <w:sz w:val="28"/>
          <w:szCs w:val="28"/>
          <w:lang w:val="en-US"/>
        </w:rPr>
        <w:t>ă</w:t>
      </w:r>
      <w:r>
        <w:rPr>
          <w:sz w:val="28"/>
          <w:szCs w:val="28"/>
          <w:lang w:val="en-US"/>
        </w:rPr>
        <w:t xml:space="preserve">m và bằng </w:t>
      </w:r>
      <w:r w:rsidR="004F3327">
        <w:rPr>
          <w:sz w:val="28"/>
          <w:szCs w:val="28"/>
          <w:lang w:val="en-US"/>
        </w:rPr>
        <w:t>346</w:t>
      </w:r>
      <w:r>
        <w:rPr>
          <w:sz w:val="28"/>
          <w:szCs w:val="28"/>
          <w:lang w:val="en-US"/>
        </w:rPr>
        <w:t>,1%  so với cùng kỳ năm 2023</w:t>
      </w:r>
      <w:r w:rsidR="004F3327">
        <w:rPr>
          <w:sz w:val="28"/>
          <w:szCs w:val="28"/>
          <w:lang w:val="en-US"/>
        </w:rPr>
        <w:t>.</w:t>
      </w:r>
    </w:p>
    <w:p w:rsidR="00730530" w:rsidRDefault="00730530" w:rsidP="00730530">
      <w:pPr>
        <w:tabs>
          <w:tab w:val="left" w:pos="720"/>
        </w:tabs>
        <w:spacing w:before="120"/>
        <w:ind w:left="90" w:firstLine="630"/>
        <w:jc w:val="both"/>
        <w:rPr>
          <w:sz w:val="28"/>
          <w:szCs w:val="28"/>
          <w:lang w:val="en-US"/>
        </w:rPr>
      </w:pPr>
      <w:r>
        <w:rPr>
          <w:sz w:val="28"/>
          <w:szCs w:val="28"/>
          <w:lang w:val="en-US"/>
        </w:rPr>
        <w:t xml:space="preserve">Nguyên nhân tăng so với cùng kỳ năm 2023: Năm 2024 được giao kinh phí cải cách tiền lương từ nguồn không tự chủ nên quý </w:t>
      </w:r>
      <w:r w:rsidR="004F3327">
        <w:rPr>
          <w:sz w:val="28"/>
          <w:szCs w:val="28"/>
          <w:lang w:val="en-US"/>
        </w:rPr>
        <w:t>III</w:t>
      </w:r>
      <w:r>
        <w:rPr>
          <w:sz w:val="28"/>
          <w:szCs w:val="28"/>
          <w:lang w:val="en-US"/>
        </w:rPr>
        <w:t xml:space="preserve">/2024 thực hiện chi trả các khoản lương và đóng góp theo lương của cán bộ biên chế từ nguồn kinh phí không tự chủ nên tỷ lệ giải ngân của quý </w:t>
      </w:r>
      <w:r w:rsidR="004F3327">
        <w:rPr>
          <w:sz w:val="28"/>
          <w:szCs w:val="28"/>
          <w:lang w:val="en-US"/>
        </w:rPr>
        <w:t>III</w:t>
      </w:r>
      <w:r>
        <w:rPr>
          <w:sz w:val="28"/>
          <w:szCs w:val="28"/>
          <w:lang w:val="en-US"/>
        </w:rPr>
        <w:t>/2024 cao hơn so với cùng kỳ 2023.</w:t>
      </w:r>
    </w:p>
    <w:p w:rsidR="00730530" w:rsidRDefault="00730530" w:rsidP="00730530">
      <w:pPr>
        <w:tabs>
          <w:tab w:val="left" w:pos="720"/>
        </w:tabs>
        <w:spacing w:before="120"/>
        <w:ind w:left="90"/>
        <w:jc w:val="both"/>
        <w:rPr>
          <w:sz w:val="28"/>
          <w:szCs w:val="28"/>
          <w:lang w:val="en-US"/>
        </w:rPr>
      </w:pPr>
      <w:r>
        <w:rPr>
          <w:sz w:val="28"/>
          <w:szCs w:val="28"/>
          <w:lang w:val="en-US"/>
        </w:rPr>
        <w:tab/>
      </w:r>
      <w:r w:rsidRPr="00D62712">
        <w:rPr>
          <w:b/>
          <w:i/>
          <w:sz w:val="28"/>
          <w:szCs w:val="28"/>
          <w:lang w:val="en-US"/>
        </w:rPr>
        <w:t>2. Chi Nghiên cứu khoa học</w:t>
      </w:r>
      <w:r>
        <w:rPr>
          <w:sz w:val="28"/>
          <w:szCs w:val="28"/>
          <w:lang w:val="en-US"/>
        </w:rPr>
        <w:t xml:space="preserve">: </w:t>
      </w:r>
    </w:p>
    <w:p w:rsidR="004F3327" w:rsidRDefault="00730530" w:rsidP="004F3327">
      <w:pPr>
        <w:tabs>
          <w:tab w:val="left" w:pos="720"/>
        </w:tabs>
        <w:spacing w:before="120" w:after="120"/>
        <w:ind w:left="90"/>
        <w:jc w:val="both"/>
        <w:rPr>
          <w:sz w:val="28"/>
          <w:szCs w:val="28"/>
          <w:lang w:val="en-US"/>
        </w:rPr>
      </w:pPr>
      <w:r>
        <w:rPr>
          <w:sz w:val="28"/>
          <w:szCs w:val="28"/>
          <w:lang w:val="en-US"/>
        </w:rPr>
        <w:tab/>
      </w:r>
      <w:r w:rsidR="004F3327">
        <w:rPr>
          <w:sz w:val="28"/>
          <w:szCs w:val="28"/>
          <w:lang w:val="en-US"/>
        </w:rPr>
        <w:t>- Quý I</w:t>
      </w:r>
      <w:r w:rsidR="004F3327">
        <w:rPr>
          <w:sz w:val="28"/>
          <w:szCs w:val="28"/>
          <w:lang w:val="en-US"/>
        </w:rPr>
        <w:t>I</w:t>
      </w:r>
      <w:r w:rsidR="004F3327">
        <w:rPr>
          <w:sz w:val="28"/>
          <w:szCs w:val="28"/>
          <w:lang w:val="en-US"/>
        </w:rPr>
        <w:t xml:space="preserve">I/2024 </w:t>
      </w:r>
      <w:r w:rsidR="004F3327" w:rsidRPr="00162532">
        <w:rPr>
          <w:sz w:val="28"/>
          <w:szCs w:val="28"/>
          <w:lang w:val="en-US"/>
        </w:rPr>
        <w:t>đã</w:t>
      </w:r>
      <w:r w:rsidR="004F3327">
        <w:rPr>
          <w:sz w:val="28"/>
          <w:szCs w:val="28"/>
          <w:lang w:val="en-US"/>
        </w:rPr>
        <w:t xml:space="preserve"> chi 1.</w:t>
      </w:r>
      <w:r w:rsidR="004F3327">
        <w:rPr>
          <w:sz w:val="28"/>
          <w:szCs w:val="28"/>
          <w:lang w:val="en-US"/>
        </w:rPr>
        <w:t>227 triệu đồng, đạt 25</w:t>
      </w:r>
      <w:r w:rsidR="004F3327">
        <w:rPr>
          <w:sz w:val="28"/>
          <w:szCs w:val="28"/>
          <w:lang w:val="en-US"/>
        </w:rPr>
        <w:t>,</w:t>
      </w:r>
      <w:r w:rsidR="004F3327">
        <w:rPr>
          <w:sz w:val="28"/>
          <w:szCs w:val="28"/>
          <w:lang w:val="en-US"/>
        </w:rPr>
        <w:t>61</w:t>
      </w:r>
      <w:r w:rsidR="004F3327">
        <w:rPr>
          <w:sz w:val="28"/>
          <w:szCs w:val="28"/>
          <w:lang w:val="en-US"/>
        </w:rPr>
        <w:t>% so với dự toán n</w:t>
      </w:r>
      <w:r w:rsidR="004F3327" w:rsidRPr="001F074E">
        <w:rPr>
          <w:sz w:val="28"/>
          <w:szCs w:val="28"/>
          <w:lang w:val="en-US"/>
        </w:rPr>
        <w:t>ă</w:t>
      </w:r>
      <w:r w:rsidR="004F3327">
        <w:rPr>
          <w:sz w:val="28"/>
          <w:szCs w:val="28"/>
          <w:lang w:val="en-US"/>
        </w:rPr>
        <w:t>m và bằng 9</w:t>
      </w:r>
      <w:r w:rsidR="004F3327">
        <w:rPr>
          <w:sz w:val="28"/>
          <w:szCs w:val="28"/>
          <w:lang w:val="en-US"/>
        </w:rPr>
        <w:t>3</w:t>
      </w:r>
      <w:r w:rsidR="004F3327">
        <w:rPr>
          <w:sz w:val="28"/>
          <w:szCs w:val="28"/>
          <w:lang w:val="en-US"/>
        </w:rPr>
        <w:t>,</w:t>
      </w:r>
      <w:r w:rsidR="004F3327">
        <w:rPr>
          <w:sz w:val="28"/>
          <w:szCs w:val="28"/>
          <w:lang w:val="en-US"/>
        </w:rPr>
        <w:t>45</w:t>
      </w:r>
      <w:r w:rsidR="004F3327">
        <w:rPr>
          <w:sz w:val="28"/>
          <w:szCs w:val="28"/>
          <w:lang w:val="en-US"/>
        </w:rPr>
        <w:t>%  so với cùng kỳ năm 2023, như vậy tình hình tăng giảm tương đương so với cùng kỳ năm trước.</w:t>
      </w:r>
    </w:p>
    <w:p w:rsidR="00730530" w:rsidRDefault="00730530" w:rsidP="00730530">
      <w:pPr>
        <w:tabs>
          <w:tab w:val="left" w:pos="720"/>
        </w:tabs>
        <w:spacing w:before="120"/>
        <w:ind w:left="90"/>
        <w:jc w:val="both"/>
        <w:rPr>
          <w:sz w:val="28"/>
          <w:szCs w:val="28"/>
          <w:lang w:val="en-US"/>
        </w:rPr>
      </w:pPr>
      <w:r>
        <w:rPr>
          <w:sz w:val="28"/>
          <w:szCs w:val="28"/>
          <w:lang w:val="en-US"/>
        </w:rPr>
        <w:tab/>
      </w:r>
      <w:r w:rsidRPr="00D62712">
        <w:rPr>
          <w:b/>
          <w:i/>
          <w:sz w:val="28"/>
          <w:szCs w:val="28"/>
          <w:lang w:val="en-US"/>
        </w:rPr>
        <w:t>3. Chi hoạt động kinh tế</w:t>
      </w:r>
      <w:r w:rsidRPr="00D62712">
        <w:rPr>
          <w:i/>
          <w:sz w:val="28"/>
          <w:szCs w:val="28"/>
          <w:lang w:val="en-US"/>
        </w:rPr>
        <w:t>:</w:t>
      </w:r>
      <w:r>
        <w:rPr>
          <w:sz w:val="28"/>
          <w:szCs w:val="28"/>
          <w:lang w:val="en-US"/>
        </w:rPr>
        <w:t xml:space="preserve"> </w:t>
      </w:r>
    </w:p>
    <w:p w:rsidR="007D312D" w:rsidRPr="007D312D" w:rsidRDefault="00730530" w:rsidP="00122D8C">
      <w:pPr>
        <w:spacing w:before="120"/>
        <w:ind w:firstLine="720"/>
        <w:jc w:val="both"/>
        <w:rPr>
          <w:b/>
          <w:sz w:val="14"/>
          <w:szCs w:val="28"/>
          <w:lang w:val="en-US"/>
        </w:rPr>
      </w:pPr>
      <w:r w:rsidRPr="00555573">
        <w:rPr>
          <w:color w:val="000000"/>
          <w:sz w:val="28"/>
          <w:szCs w:val="28"/>
          <w:lang w:val="en-US"/>
        </w:rPr>
        <w:t xml:space="preserve">Dự toán chi </w:t>
      </w:r>
      <w:r>
        <w:rPr>
          <w:color w:val="000000"/>
          <w:sz w:val="28"/>
          <w:szCs w:val="28"/>
          <w:lang w:val="en-US"/>
        </w:rPr>
        <w:t>sự nghiệp kinh tế</w:t>
      </w:r>
      <w:r w:rsidRPr="00555573">
        <w:rPr>
          <w:color w:val="000000"/>
          <w:sz w:val="28"/>
          <w:szCs w:val="28"/>
          <w:lang w:val="en-US"/>
        </w:rPr>
        <w:t xml:space="preserve"> năm 2024 được giao</w:t>
      </w:r>
      <w:r>
        <w:rPr>
          <w:color w:val="000000"/>
          <w:sz w:val="28"/>
          <w:szCs w:val="28"/>
          <w:lang w:val="en-US"/>
        </w:rPr>
        <w:t xml:space="preserve"> sau khi thực hiện trừ tiết kiệm 5% dự toán giao là </w:t>
      </w:r>
      <w:r w:rsidR="001C6299">
        <w:rPr>
          <w:color w:val="000000"/>
          <w:sz w:val="28"/>
          <w:szCs w:val="28"/>
          <w:lang w:val="en-US"/>
        </w:rPr>
        <w:t>16</w:t>
      </w:r>
      <w:r w:rsidR="00122D8C">
        <w:rPr>
          <w:color w:val="000000"/>
          <w:sz w:val="28"/>
          <w:szCs w:val="28"/>
          <w:lang w:val="en-US"/>
        </w:rPr>
        <w:t>.</w:t>
      </w:r>
      <w:r w:rsidR="001C6299">
        <w:rPr>
          <w:color w:val="000000"/>
          <w:sz w:val="28"/>
          <w:szCs w:val="28"/>
          <w:lang w:val="en-US"/>
        </w:rPr>
        <w:t>522</w:t>
      </w:r>
      <w:bookmarkStart w:id="0" w:name="_GoBack"/>
      <w:bookmarkEnd w:id="0"/>
      <w:r w:rsidRPr="00555573">
        <w:rPr>
          <w:color w:val="000000"/>
          <w:sz w:val="28"/>
          <w:szCs w:val="28"/>
          <w:lang w:val="en-US"/>
        </w:rPr>
        <w:t xml:space="preserve"> triệu đồng, quý </w:t>
      </w:r>
      <w:r w:rsidR="00122D8C">
        <w:rPr>
          <w:color w:val="000000"/>
          <w:sz w:val="28"/>
          <w:szCs w:val="28"/>
          <w:lang w:val="en-US"/>
        </w:rPr>
        <w:t>III</w:t>
      </w:r>
      <w:r w:rsidRPr="00555573">
        <w:rPr>
          <w:color w:val="000000"/>
          <w:sz w:val="28"/>
          <w:szCs w:val="28"/>
          <w:lang w:val="en-US"/>
        </w:rPr>
        <w:t>/2024</w:t>
      </w:r>
      <w:r>
        <w:rPr>
          <w:color w:val="000000"/>
          <w:sz w:val="28"/>
          <w:szCs w:val="28"/>
          <w:lang w:val="en-US"/>
        </w:rPr>
        <w:t xml:space="preserve"> </w:t>
      </w:r>
      <w:r w:rsidR="00122D8C">
        <w:rPr>
          <w:color w:val="000000"/>
          <w:sz w:val="28"/>
          <w:szCs w:val="28"/>
          <w:lang w:val="en-US"/>
        </w:rPr>
        <w:t>được bổ sung nguồn kinh phí không thường xuyên để phục vụ công tác khắc phục thiệt hại do cơn bão số 3 trên địa bàn Khu Công nghệ cao Hòa Lạc, đơn vị đang tiến hành các công việc khắc phục thiên tai.</w:t>
      </w:r>
    </w:p>
    <w:p w:rsidR="007A6A58" w:rsidRPr="007A6A58" w:rsidRDefault="007A6A58" w:rsidP="00730530">
      <w:pPr>
        <w:tabs>
          <w:tab w:val="left" w:pos="720"/>
        </w:tabs>
        <w:spacing w:before="120"/>
        <w:ind w:firstLine="567"/>
        <w:jc w:val="both"/>
        <w:rPr>
          <w:b/>
          <w:sz w:val="12"/>
          <w:szCs w:val="28"/>
          <w:lang w:val="en-US"/>
        </w:rPr>
      </w:pPr>
    </w:p>
    <w:p w:rsidR="00BB1B40" w:rsidRPr="001C02EE" w:rsidRDefault="00BB1B40" w:rsidP="00730530">
      <w:pPr>
        <w:tabs>
          <w:tab w:val="left" w:pos="720"/>
        </w:tabs>
        <w:spacing w:before="120"/>
        <w:ind w:firstLine="567"/>
        <w:jc w:val="both"/>
        <w:rPr>
          <w:b/>
          <w:sz w:val="28"/>
          <w:szCs w:val="28"/>
          <w:lang w:val="en-US"/>
        </w:rPr>
      </w:pPr>
      <w:r>
        <w:rPr>
          <w:b/>
          <w:sz w:val="28"/>
          <w:szCs w:val="28"/>
          <w:lang w:val="en-US"/>
        </w:rPr>
        <w:t xml:space="preserve">B. </w:t>
      </w:r>
      <w:r w:rsidRPr="001C02EE">
        <w:rPr>
          <w:b/>
          <w:sz w:val="28"/>
          <w:szCs w:val="28"/>
          <w:lang w:val="en-US"/>
        </w:rPr>
        <w:t xml:space="preserve">ĐÁNH GIÁ </w:t>
      </w:r>
      <w:r>
        <w:rPr>
          <w:b/>
          <w:sz w:val="28"/>
          <w:szCs w:val="28"/>
          <w:lang w:val="en-US"/>
        </w:rPr>
        <w:t>T</w:t>
      </w:r>
      <w:r w:rsidRPr="00BA4BC9">
        <w:rPr>
          <w:b/>
          <w:sz w:val="28"/>
          <w:szCs w:val="28"/>
          <w:lang w:val="en-US"/>
        </w:rPr>
        <w:t>ÌNH</w:t>
      </w:r>
      <w:r>
        <w:rPr>
          <w:b/>
          <w:sz w:val="28"/>
          <w:szCs w:val="28"/>
          <w:lang w:val="en-US"/>
        </w:rPr>
        <w:t xml:space="preserve"> H</w:t>
      </w:r>
      <w:r w:rsidRPr="00BA4BC9">
        <w:rPr>
          <w:b/>
          <w:sz w:val="28"/>
          <w:szCs w:val="28"/>
          <w:lang w:val="en-US"/>
        </w:rPr>
        <w:t>ÌNH</w:t>
      </w:r>
      <w:r>
        <w:rPr>
          <w:b/>
          <w:sz w:val="28"/>
          <w:szCs w:val="28"/>
          <w:lang w:val="en-US"/>
        </w:rPr>
        <w:t xml:space="preserve"> TH</w:t>
      </w:r>
      <w:r w:rsidRPr="00BA4BC9">
        <w:rPr>
          <w:b/>
          <w:sz w:val="28"/>
          <w:szCs w:val="28"/>
          <w:lang w:val="en-US"/>
        </w:rPr>
        <w:t>ỰC</w:t>
      </w:r>
      <w:r>
        <w:rPr>
          <w:b/>
          <w:sz w:val="28"/>
          <w:szCs w:val="28"/>
          <w:lang w:val="en-US"/>
        </w:rPr>
        <w:t xml:space="preserve"> HI</w:t>
      </w:r>
      <w:r w:rsidRPr="00BA4BC9">
        <w:rPr>
          <w:b/>
          <w:sz w:val="28"/>
          <w:szCs w:val="28"/>
          <w:lang w:val="en-US"/>
        </w:rPr>
        <w:t>ỆN</w:t>
      </w:r>
      <w:r>
        <w:rPr>
          <w:b/>
          <w:sz w:val="28"/>
          <w:szCs w:val="28"/>
          <w:lang w:val="en-US"/>
        </w:rPr>
        <w:t xml:space="preserve"> </w:t>
      </w:r>
      <w:r w:rsidRPr="001C02EE">
        <w:rPr>
          <w:b/>
          <w:sz w:val="28"/>
          <w:szCs w:val="28"/>
          <w:lang w:val="en-US"/>
        </w:rPr>
        <w:t xml:space="preserve">TRONG </w:t>
      </w:r>
      <w:r w:rsidR="00730530">
        <w:rPr>
          <w:b/>
          <w:sz w:val="28"/>
          <w:szCs w:val="28"/>
          <w:lang w:val="en-US"/>
        </w:rPr>
        <w:t>9</w:t>
      </w:r>
      <w:r>
        <w:rPr>
          <w:b/>
          <w:sz w:val="28"/>
          <w:szCs w:val="28"/>
          <w:lang w:val="en-US"/>
        </w:rPr>
        <w:t xml:space="preserve"> TH</w:t>
      </w:r>
      <w:r w:rsidRPr="00323780">
        <w:rPr>
          <w:b/>
          <w:sz w:val="28"/>
          <w:szCs w:val="28"/>
          <w:lang w:val="en-US"/>
        </w:rPr>
        <w:t>ÁN</w:t>
      </w:r>
      <w:r>
        <w:rPr>
          <w:b/>
          <w:sz w:val="28"/>
          <w:szCs w:val="28"/>
          <w:lang w:val="en-US"/>
        </w:rPr>
        <w:t>G ĐẦU N</w:t>
      </w:r>
      <w:r w:rsidRPr="00323780">
        <w:rPr>
          <w:b/>
          <w:sz w:val="28"/>
          <w:szCs w:val="28"/>
          <w:lang w:val="en-US"/>
        </w:rPr>
        <w:t>Ă</w:t>
      </w:r>
      <w:r>
        <w:rPr>
          <w:b/>
          <w:sz w:val="28"/>
          <w:szCs w:val="28"/>
          <w:lang w:val="en-US"/>
        </w:rPr>
        <w:t>M 2024</w:t>
      </w:r>
    </w:p>
    <w:p w:rsidR="00730530" w:rsidRDefault="00730530" w:rsidP="00730530">
      <w:pPr>
        <w:spacing w:before="120"/>
        <w:ind w:firstLine="720"/>
        <w:jc w:val="both"/>
        <w:rPr>
          <w:b/>
          <w:sz w:val="28"/>
          <w:szCs w:val="28"/>
          <w:lang w:val="en-US"/>
        </w:rPr>
      </w:pPr>
      <w:r>
        <w:rPr>
          <w:b/>
          <w:sz w:val="28"/>
          <w:szCs w:val="28"/>
          <w:lang w:val="en-US"/>
        </w:rPr>
        <w:t xml:space="preserve">I. </w:t>
      </w:r>
      <w:r w:rsidRPr="0057609E">
        <w:rPr>
          <w:b/>
          <w:sz w:val="28"/>
          <w:szCs w:val="28"/>
          <w:lang w:val="en-US"/>
        </w:rPr>
        <w:t xml:space="preserve">Tình hình </w:t>
      </w:r>
      <w:r>
        <w:rPr>
          <w:b/>
          <w:sz w:val="28"/>
          <w:szCs w:val="28"/>
          <w:lang w:val="en-US"/>
        </w:rPr>
        <w:t xml:space="preserve">thực hiện </w:t>
      </w:r>
      <w:r w:rsidRPr="0057609E">
        <w:rPr>
          <w:b/>
          <w:sz w:val="28"/>
          <w:szCs w:val="28"/>
          <w:lang w:val="en-US"/>
        </w:rPr>
        <w:t>dự toán thu, chi, nộp ngân sách phí, lệ phí</w:t>
      </w:r>
      <w:r>
        <w:rPr>
          <w:b/>
          <w:sz w:val="28"/>
          <w:szCs w:val="28"/>
          <w:lang w:val="en-US"/>
        </w:rPr>
        <w:t>.</w:t>
      </w:r>
    </w:p>
    <w:p w:rsidR="00730530" w:rsidRDefault="00730530" w:rsidP="00730530">
      <w:pPr>
        <w:spacing w:before="120"/>
        <w:ind w:firstLine="720"/>
        <w:jc w:val="both"/>
        <w:rPr>
          <w:sz w:val="28"/>
          <w:szCs w:val="28"/>
          <w:lang w:val="en-US"/>
        </w:rPr>
      </w:pPr>
      <w:r w:rsidRPr="0057609E">
        <w:rPr>
          <w:sz w:val="28"/>
          <w:szCs w:val="28"/>
          <w:lang w:val="en-US"/>
        </w:rPr>
        <w:t xml:space="preserve">Trong </w:t>
      </w:r>
      <w:r>
        <w:rPr>
          <w:sz w:val="28"/>
          <w:szCs w:val="28"/>
          <w:lang w:val="en-US"/>
        </w:rPr>
        <w:t xml:space="preserve">9 tháng năm 2024, tổng số thu và nộp ngân sách nhà nước từ nguồn thu Phí, Lệ phí là 166.9 </w:t>
      </w:r>
      <w:r w:rsidRPr="00122D8C">
        <w:rPr>
          <w:sz w:val="28"/>
          <w:szCs w:val="28"/>
          <w:lang w:val="en-US"/>
        </w:rPr>
        <w:t>triệu đồng (thu và nộp NSNN tỷ lệ 100% số thu Phí, Lệ phí thu được).</w:t>
      </w:r>
    </w:p>
    <w:p w:rsidR="00730530" w:rsidRDefault="001C5E17" w:rsidP="00730530">
      <w:pPr>
        <w:spacing w:before="120"/>
        <w:ind w:firstLine="720"/>
        <w:jc w:val="both"/>
        <w:rPr>
          <w:sz w:val="28"/>
          <w:szCs w:val="28"/>
          <w:lang w:val="en-US"/>
        </w:rPr>
      </w:pPr>
      <w:r>
        <w:rPr>
          <w:sz w:val="28"/>
          <w:szCs w:val="28"/>
          <w:lang w:val="en-US"/>
        </w:rPr>
        <w:t>Nguyên nhân</w:t>
      </w:r>
      <w:r w:rsidR="00730530">
        <w:rPr>
          <w:sz w:val="28"/>
          <w:szCs w:val="28"/>
          <w:lang w:val="en-US"/>
        </w:rPr>
        <w:t>: Trong 9 tháng năm 2024 mặc dù phát sinh giảm không phải thu lệ phí thủ tục hành chính: Cấp mới, cấp gia hạn và cấp lại giấy phép lao động cho người nước ngoài làm việc tại doanh nghiệp trong Khu CNC Hòa Lạc theo quyết định số 2641/Q</w:t>
      </w:r>
      <w:r>
        <w:rPr>
          <w:sz w:val="28"/>
          <w:szCs w:val="28"/>
          <w:lang w:val="en-US"/>
        </w:rPr>
        <w:t>Đ-UBND ngày 21/5/2024 của UBND t</w:t>
      </w:r>
      <w:r w:rsidR="00730530">
        <w:rPr>
          <w:sz w:val="28"/>
          <w:szCs w:val="28"/>
          <w:lang w:val="en-US"/>
        </w:rPr>
        <w:t>hành phố Hà Nội nhưng phát sinh t</w:t>
      </w:r>
      <w:r>
        <w:rPr>
          <w:sz w:val="28"/>
          <w:szCs w:val="28"/>
          <w:lang w:val="en-US"/>
        </w:rPr>
        <w:t>ăng thu phí TTHC của loại phí: T</w:t>
      </w:r>
      <w:r w:rsidR="00730530">
        <w:rPr>
          <w:sz w:val="28"/>
          <w:szCs w:val="28"/>
          <w:lang w:val="en-US"/>
        </w:rPr>
        <w:t>hẩm định báo cáo nghiên cứu khả thi đầu tư xây dựng và phí thẩm định đồ án quy hoạch mặt bằng (quy hoạch chi tiết xây dựng theo quy trình rút gọn) nên dẫn đến tỷ lệ thu nộp NSNN của 9 tháng đầu năm 2024 cao hơn so với cùng kỳ năm trước.</w:t>
      </w:r>
    </w:p>
    <w:p w:rsidR="00730530" w:rsidRPr="0057609E" w:rsidRDefault="00730530" w:rsidP="00730530">
      <w:pPr>
        <w:spacing w:before="120"/>
        <w:ind w:firstLine="720"/>
        <w:jc w:val="both"/>
        <w:rPr>
          <w:sz w:val="28"/>
          <w:szCs w:val="28"/>
          <w:lang w:val="en-US"/>
        </w:rPr>
      </w:pPr>
      <w:r>
        <w:rPr>
          <w:b/>
          <w:sz w:val="28"/>
          <w:szCs w:val="28"/>
          <w:lang w:val="en-US"/>
        </w:rPr>
        <w:lastRenderedPageBreak/>
        <w:t xml:space="preserve">II. </w:t>
      </w:r>
      <w:r w:rsidRPr="0057609E">
        <w:rPr>
          <w:b/>
          <w:sz w:val="28"/>
          <w:szCs w:val="28"/>
          <w:lang w:val="en-US"/>
        </w:rPr>
        <w:t xml:space="preserve">Tình hình </w:t>
      </w:r>
      <w:r>
        <w:rPr>
          <w:b/>
          <w:sz w:val="28"/>
          <w:szCs w:val="28"/>
          <w:lang w:val="en-US"/>
        </w:rPr>
        <w:t xml:space="preserve">thực hiện </w:t>
      </w:r>
      <w:r w:rsidRPr="0057609E">
        <w:rPr>
          <w:b/>
          <w:sz w:val="28"/>
          <w:szCs w:val="28"/>
          <w:lang w:val="en-US"/>
        </w:rPr>
        <w:t xml:space="preserve">dự toán </w:t>
      </w:r>
      <w:r>
        <w:rPr>
          <w:b/>
          <w:sz w:val="28"/>
          <w:szCs w:val="28"/>
          <w:lang w:val="en-US"/>
        </w:rPr>
        <w:t>chi ngân sách nhà nước.</w:t>
      </w:r>
    </w:p>
    <w:p w:rsidR="00730530" w:rsidRPr="00555573" w:rsidRDefault="002F4CB2" w:rsidP="00730530">
      <w:pPr>
        <w:spacing w:before="120"/>
        <w:ind w:firstLine="720"/>
        <w:jc w:val="both"/>
        <w:rPr>
          <w:color w:val="000000"/>
          <w:sz w:val="28"/>
          <w:szCs w:val="28"/>
          <w:lang w:val="en-US"/>
        </w:rPr>
      </w:pPr>
      <w:r>
        <w:rPr>
          <w:color w:val="000000"/>
          <w:sz w:val="28"/>
          <w:szCs w:val="28"/>
          <w:lang w:val="en-US"/>
        </w:rPr>
        <w:t xml:space="preserve">Trong </w:t>
      </w:r>
      <w:r w:rsidR="00730530">
        <w:rPr>
          <w:color w:val="000000"/>
          <w:sz w:val="28"/>
          <w:szCs w:val="28"/>
          <w:lang w:val="en-US"/>
        </w:rPr>
        <w:t xml:space="preserve">9 tháng đầu năm </w:t>
      </w:r>
      <w:r w:rsidR="00730530" w:rsidRPr="00555573">
        <w:rPr>
          <w:color w:val="000000"/>
          <w:sz w:val="28"/>
          <w:szCs w:val="28"/>
          <w:lang w:val="en-US"/>
        </w:rPr>
        <w:t xml:space="preserve">2024 đã chi </w:t>
      </w:r>
      <w:r w:rsidR="001C5E17">
        <w:rPr>
          <w:color w:val="000000"/>
          <w:sz w:val="28"/>
          <w:szCs w:val="28"/>
          <w:lang w:val="en-US"/>
        </w:rPr>
        <w:t>12</w:t>
      </w:r>
      <w:r w:rsidR="00730530">
        <w:rPr>
          <w:color w:val="000000"/>
          <w:sz w:val="28"/>
          <w:szCs w:val="28"/>
          <w:lang w:val="en-US"/>
        </w:rPr>
        <w:t>.</w:t>
      </w:r>
      <w:r w:rsidR="001C5E17">
        <w:rPr>
          <w:color w:val="000000"/>
          <w:sz w:val="28"/>
          <w:szCs w:val="28"/>
          <w:lang w:val="en-US"/>
        </w:rPr>
        <w:t>419,</w:t>
      </w:r>
      <w:r w:rsidR="00730530">
        <w:rPr>
          <w:color w:val="000000"/>
          <w:sz w:val="28"/>
          <w:szCs w:val="28"/>
          <w:lang w:val="en-US"/>
        </w:rPr>
        <w:t>7</w:t>
      </w:r>
      <w:r w:rsidR="00730530" w:rsidRPr="00555573">
        <w:rPr>
          <w:color w:val="000000"/>
          <w:sz w:val="28"/>
          <w:szCs w:val="28"/>
          <w:lang w:val="en-US"/>
        </w:rPr>
        <w:t xml:space="preserve"> triệu đồng, đạt </w:t>
      </w:r>
      <w:r w:rsidR="001C5E17">
        <w:rPr>
          <w:color w:val="000000"/>
          <w:sz w:val="28"/>
          <w:szCs w:val="28"/>
          <w:lang w:val="en-US"/>
        </w:rPr>
        <w:t>30</w:t>
      </w:r>
      <w:r w:rsidR="00730530">
        <w:rPr>
          <w:color w:val="000000"/>
          <w:sz w:val="28"/>
          <w:szCs w:val="28"/>
          <w:lang w:val="en-US"/>
        </w:rPr>
        <w:t>,</w:t>
      </w:r>
      <w:r w:rsidR="001C5E17">
        <w:rPr>
          <w:color w:val="000000"/>
          <w:sz w:val="28"/>
          <w:szCs w:val="28"/>
          <w:lang w:val="en-US"/>
        </w:rPr>
        <w:t>56</w:t>
      </w:r>
      <w:r w:rsidR="00730530" w:rsidRPr="00555573">
        <w:rPr>
          <w:color w:val="000000"/>
          <w:sz w:val="28"/>
          <w:szCs w:val="28"/>
          <w:lang w:val="en-US"/>
        </w:rPr>
        <w:t xml:space="preserve">%  so với dự toán năm 2024, bằng </w:t>
      </w:r>
      <w:r w:rsidR="001C5E17">
        <w:rPr>
          <w:color w:val="000000"/>
          <w:sz w:val="28"/>
          <w:szCs w:val="28"/>
          <w:lang w:val="en-US"/>
        </w:rPr>
        <w:t>80</w:t>
      </w:r>
      <w:r w:rsidR="00730530" w:rsidRPr="00555573">
        <w:rPr>
          <w:color w:val="000000"/>
          <w:sz w:val="28"/>
          <w:szCs w:val="28"/>
          <w:lang w:val="en-US"/>
        </w:rPr>
        <w:t>,</w:t>
      </w:r>
      <w:r w:rsidR="001C5E17">
        <w:rPr>
          <w:color w:val="000000"/>
          <w:sz w:val="28"/>
          <w:szCs w:val="28"/>
          <w:lang w:val="en-US"/>
        </w:rPr>
        <w:t>85</w:t>
      </w:r>
      <w:r w:rsidR="00730530" w:rsidRPr="00555573">
        <w:rPr>
          <w:color w:val="000000"/>
          <w:sz w:val="28"/>
          <w:szCs w:val="28"/>
          <w:lang w:val="en-US"/>
        </w:rPr>
        <w:t xml:space="preserve">% so với mức chi cùng kỳ năm 2023 (Giảm </w:t>
      </w:r>
      <w:r w:rsidR="001C5E17">
        <w:rPr>
          <w:color w:val="000000"/>
          <w:sz w:val="28"/>
          <w:szCs w:val="28"/>
          <w:lang w:val="en-US"/>
        </w:rPr>
        <w:t>19</w:t>
      </w:r>
      <w:r w:rsidR="00730530" w:rsidRPr="00555573">
        <w:rPr>
          <w:color w:val="000000"/>
          <w:sz w:val="28"/>
          <w:szCs w:val="28"/>
          <w:lang w:val="en-US"/>
        </w:rPr>
        <w:t>,</w:t>
      </w:r>
      <w:r w:rsidR="001C5E17">
        <w:rPr>
          <w:color w:val="000000"/>
          <w:sz w:val="28"/>
          <w:szCs w:val="28"/>
          <w:lang w:val="en-US"/>
        </w:rPr>
        <w:t>15</w:t>
      </w:r>
      <w:r w:rsidR="00730530" w:rsidRPr="00555573">
        <w:rPr>
          <w:color w:val="000000"/>
          <w:sz w:val="28"/>
          <w:szCs w:val="28"/>
          <w:lang w:val="en-US"/>
        </w:rPr>
        <w:t>% so với cùng kỳ năm 2023).</w:t>
      </w:r>
    </w:p>
    <w:p w:rsidR="00730530" w:rsidRPr="00ED3DEA" w:rsidRDefault="00730530" w:rsidP="00730530">
      <w:pPr>
        <w:spacing w:before="120"/>
        <w:ind w:firstLine="720"/>
        <w:jc w:val="both"/>
        <w:rPr>
          <w:sz w:val="28"/>
          <w:szCs w:val="28"/>
          <w:lang w:val="en-US"/>
        </w:rPr>
      </w:pPr>
      <w:r>
        <w:rPr>
          <w:sz w:val="28"/>
          <w:szCs w:val="28"/>
          <w:lang w:val="en-US"/>
        </w:rPr>
        <w:t>Bao gồm:</w:t>
      </w:r>
    </w:p>
    <w:p w:rsidR="00730530" w:rsidRDefault="001C5E17" w:rsidP="001C5E17">
      <w:pPr>
        <w:tabs>
          <w:tab w:val="left" w:pos="720"/>
        </w:tabs>
        <w:spacing w:before="120"/>
        <w:ind w:left="720"/>
        <w:jc w:val="both"/>
        <w:rPr>
          <w:i/>
          <w:sz w:val="28"/>
          <w:szCs w:val="28"/>
          <w:lang w:val="en-US"/>
        </w:rPr>
      </w:pPr>
      <w:r>
        <w:rPr>
          <w:b/>
          <w:i/>
          <w:sz w:val="28"/>
          <w:szCs w:val="28"/>
          <w:lang w:val="en-US"/>
        </w:rPr>
        <w:t xml:space="preserve">1. </w:t>
      </w:r>
      <w:r w:rsidR="00730530" w:rsidRPr="00D62712">
        <w:rPr>
          <w:b/>
          <w:i/>
          <w:sz w:val="28"/>
          <w:szCs w:val="28"/>
          <w:lang w:val="en-US"/>
        </w:rPr>
        <w:t>Chi quản lý hành chính</w:t>
      </w:r>
      <w:r w:rsidR="00730530" w:rsidRPr="00D62712">
        <w:rPr>
          <w:i/>
          <w:sz w:val="28"/>
          <w:szCs w:val="28"/>
          <w:lang w:val="en-US"/>
        </w:rPr>
        <w:t xml:space="preserve">: </w:t>
      </w:r>
    </w:p>
    <w:p w:rsidR="00730530" w:rsidRPr="00555573" w:rsidRDefault="00730530" w:rsidP="00730530">
      <w:pPr>
        <w:spacing w:before="120"/>
        <w:ind w:firstLine="720"/>
        <w:jc w:val="both"/>
        <w:rPr>
          <w:color w:val="000000"/>
          <w:sz w:val="28"/>
          <w:szCs w:val="28"/>
          <w:lang w:val="en-US"/>
        </w:rPr>
      </w:pPr>
      <w:r w:rsidRPr="00555573">
        <w:rPr>
          <w:color w:val="000000"/>
          <w:sz w:val="28"/>
          <w:szCs w:val="28"/>
          <w:lang w:val="en-US"/>
        </w:rPr>
        <w:t xml:space="preserve">Dự toán chi QLHC năm 2024 được giao </w:t>
      </w:r>
      <w:r>
        <w:rPr>
          <w:color w:val="000000"/>
          <w:sz w:val="28"/>
          <w:szCs w:val="28"/>
          <w:lang w:val="en-US"/>
        </w:rPr>
        <w:t>sau khi thực hiện trừ tiết kiệm 5% dự toán giao là 19.322</w:t>
      </w:r>
      <w:r w:rsidRPr="00555573">
        <w:rPr>
          <w:color w:val="000000"/>
          <w:sz w:val="28"/>
          <w:szCs w:val="28"/>
          <w:lang w:val="en-US"/>
        </w:rPr>
        <w:t xml:space="preserve"> triệu đồng, </w:t>
      </w:r>
      <w:r>
        <w:rPr>
          <w:color w:val="000000"/>
          <w:sz w:val="28"/>
          <w:szCs w:val="28"/>
          <w:lang w:val="en-US"/>
        </w:rPr>
        <w:t xml:space="preserve">9 tháng đầu năm </w:t>
      </w:r>
      <w:r w:rsidRPr="00555573">
        <w:rPr>
          <w:color w:val="000000"/>
          <w:sz w:val="28"/>
          <w:szCs w:val="28"/>
          <w:lang w:val="en-US"/>
        </w:rPr>
        <w:t xml:space="preserve">2024 đã chi </w:t>
      </w:r>
      <w:r>
        <w:rPr>
          <w:color w:val="000000"/>
          <w:sz w:val="28"/>
          <w:szCs w:val="28"/>
          <w:lang w:val="en-US"/>
        </w:rPr>
        <w:t>9.048</w:t>
      </w:r>
      <w:r w:rsidRPr="00555573">
        <w:rPr>
          <w:color w:val="000000"/>
          <w:sz w:val="28"/>
          <w:szCs w:val="28"/>
          <w:lang w:val="en-US"/>
        </w:rPr>
        <w:t xml:space="preserve"> triệu đồng, đạt </w:t>
      </w:r>
      <w:r>
        <w:rPr>
          <w:color w:val="000000"/>
          <w:sz w:val="28"/>
          <w:szCs w:val="28"/>
          <w:lang w:val="en-US"/>
        </w:rPr>
        <w:t>46</w:t>
      </w:r>
      <w:r w:rsidRPr="00555573">
        <w:rPr>
          <w:color w:val="000000"/>
          <w:sz w:val="28"/>
          <w:szCs w:val="28"/>
          <w:lang w:val="en-US"/>
        </w:rPr>
        <w:t>,</w:t>
      </w:r>
      <w:r w:rsidR="001C5E17">
        <w:rPr>
          <w:color w:val="000000"/>
          <w:sz w:val="28"/>
          <w:szCs w:val="28"/>
          <w:lang w:val="en-US"/>
        </w:rPr>
        <w:t>83</w:t>
      </w:r>
      <w:r w:rsidRPr="00555573">
        <w:rPr>
          <w:color w:val="000000"/>
          <w:sz w:val="28"/>
          <w:szCs w:val="28"/>
          <w:lang w:val="en-US"/>
        </w:rPr>
        <w:t xml:space="preserve">% so với dự toán năm 2024, bằng </w:t>
      </w:r>
      <w:r>
        <w:rPr>
          <w:color w:val="000000"/>
          <w:sz w:val="28"/>
          <w:szCs w:val="28"/>
          <w:lang w:val="en-US"/>
        </w:rPr>
        <w:t>93</w:t>
      </w:r>
      <w:r w:rsidRPr="00555573">
        <w:rPr>
          <w:color w:val="000000"/>
          <w:sz w:val="28"/>
          <w:szCs w:val="28"/>
          <w:lang w:val="en-US"/>
        </w:rPr>
        <w:t>,</w:t>
      </w:r>
      <w:r>
        <w:rPr>
          <w:color w:val="000000"/>
          <w:sz w:val="28"/>
          <w:szCs w:val="28"/>
          <w:lang w:val="en-US"/>
        </w:rPr>
        <w:t>09</w:t>
      </w:r>
      <w:r w:rsidRPr="00555573">
        <w:rPr>
          <w:color w:val="000000"/>
          <w:sz w:val="28"/>
          <w:szCs w:val="28"/>
          <w:lang w:val="en-US"/>
        </w:rPr>
        <w:t xml:space="preserve">% so với mức chi cùng kỳ năm 2023, giảm </w:t>
      </w:r>
      <w:r>
        <w:rPr>
          <w:color w:val="000000"/>
          <w:sz w:val="28"/>
          <w:szCs w:val="28"/>
          <w:lang w:val="en-US"/>
        </w:rPr>
        <w:t>6,91</w:t>
      </w:r>
      <w:r w:rsidRPr="00555573">
        <w:rPr>
          <w:color w:val="000000"/>
          <w:sz w:val="28"/>
          <w:szCs w:val="28"/>
          <w:lang w:val="en-US"/>
        </w:rPr>
        <w:t>% so với cùng kỳ năm 2023.</w:t>
      </w:r>
    </w:p>
    <w:p w:rsidR="00730530" w:rsidRPr="00555573" w:rsidRDefault="00730530" w:rsidP="00730530">
      <w:pPr>
        <w:spacing w:before="120"/>
        <w:ind w:firstLine="720"/>
        <w:jc w:val="both"/>
        <w:rPr>
          <w:color w:val="000000"/>
          <w:sz w:val="28"/>
          <w:szCs w:val="28"/>
          <w:lang w:val="en-US"/>
        </w:rPr>
      </w:pPr>
      <w:r w:rsidRPr="00555573">
        <w:rPr>
          <w:color w:val="000000"/>
          <w:sz w:val="28"/>
          <w:szCs w:val="28"/>
          <w:lang w:val="en-US"/>
        </w:rPr>
        <w:t>Trong đó:</w:t>
      </w:r>
    </w:p>
    <w:p w:rsidR="00730530" w:rsidRDefault="00730530" w:rsidP="00730530">
      <w:pPr>
        <w:tabs>
          <w:tab w:val="left" w:pos="720"/>
        </w:tabs>
        <w:spacing w:before="120"/>
        <w:jc w:val="both"/>
        <w:rPr>
          <w:sz w:val="28"/>
          <w:szCs w:val="28"/>
          <w:lang w:val="en-US"/>
        </w:rPr>
      </w:pPr>
      <w:r>
        <w:rPr>
          <w:b/>
          <w:sz w:val="28"/>
          <w:szCs w:val="28"/>
          <w:lang w:val="en-US"/>
        </w:rPr>
        <w:tab/>
      </w:r>
      <w:r w:rsidRPr="0074337E">
        <w:rPr>
          <w:i/>
          <w:sz w:val="28"/>
          <w:szCs w:val="28"/>
          <w:lang w:val="en-US"/>
        </w:rPr>
        <w:t>- Kinh phí thực hiện chế độ tự chủ</w:t>
      </w:r>
      <w:r>
        <w:rPr>
          <w:sz w:val="28"/>
          <w:szCs w:val="28"/>
          <w:lang w:val="en-US"/>
        </w:rPr>
        <w:t>: 9 tháng đầu năm 2024 đ</w:t>
      </w:r>
      <w:r w:rsidRPr="00162532">
        <w:rPr>
          <w:sz w:val="28"/>
          <w:szCs w:val="28"/>
          <w:lang w:val="en-US"/>
        </w:rPr>
        <w:t>ã</w:t>
      </w:r>
      <w:r>
        <w:rPr>
          <w:sz w:val="28"/>
          <w:szCs w:val="28"/>
          <w:lang w:val="en-US"/>
        </w:rPr>
        <w:t xml:space="preserve"> chi 6.370 triệu đồng, đạt 53% so với dự toán n</w:t>
      </w:r>
      <w:r w:rsidRPr="001F074E">
        <w:rPr>
          <w:sz w:val="28"/>
          <w:szCs w:val="28"/>
          <w:lang w:val="en-US"/>
        </w:rPr>
        <w:t>ă</w:t>
      </w:r>
      <w:r>
        <w:rPr>
          <w:sz w:val="28"/>
          <w:szCs w:val="28"/>
          <w:lang w:val="en-US"/>
        </w:rPr>
        <w:t xml:space="preserve">m và bằng 77,96%  so với cùng kỳ năm 2023, như vậy giảm 22,04% mức chi so với cùng kỳ năm trước. </w:t>
      </w:r>
    </w:p>
    <w:p w:rsidR="00730530" w:rsidRDefault="00730530" w:rsidP="00730530">
      <w:pPr>
        <w:tabs>
          <w:tab w:val="left" w:pos="720"/>
        </w:tabs>
        <w:spacing w:before="120"/>
        <w:ind w:left="90"/>
        <w:jc w:val="both"/>
        <w:rPr>
          <w:sz w:val="28"/>
          <w:szCs w:val="28"/>
          <w:lang w:val="en-US"/>
        </w:rPr>
      </w:pPr>
      <w:r>
        <w:rPr>
          <w:sz w:val="28"/>
          <w:szCs w:val="28"/>
          <w:lang w:val="en-US"/>
        </w:rPr>
        <w:tab/>
        <w:t>Nguyên nhân giảm so với cùng kỳ năm 2023: Kinh phí chi trả cho các khoản lương và phụ cấp lương biên chế giảm so với cùng kỳ năm 2023 vì số lượng biên chế thực có mặt ít hơn 05 người do chuyển công tác</w:t>
      </w:r>
      <w:r w:rsidR="001C5E17">
        <w:rPr>
          <w:sz w:val="28"/>
          <w:szCs w:val="28"/>
          <w:lang w:val="en-US"/>
        </w:rPr>
        <w:t xml:space="preserve"> (tại thời điểm quý III</w:t>
      </w:r>
      <w:r>
        <w:rPr>
          <w:sz w:val="28"/>
          <w:szCs w:val="28"/>
          <w:lang w:val="en-US"/>
        </w:rPr>
        <w:t>/2024), ít hơn 07 người tại thời điểm 6 tháng đầu năm 2024. Năm 2024 được giao kinh phí cải cách tiền lương từ nguồn không tự chủ. Do vậy, 9 tháng đầu năm 2024 thực hiện chi trả các khoản lương và phụ cấp theo lương đối với phần cải cách tiền lương (từ mức lương cơ sở 1.490.000 đồng lên 2.340.000 đồng) cho cán bộ biên chế từ nguồn kinh phí không tự chủ nên tỷ lệ chi từ nguồn tự chủ giảm so với cùng kỳ năm trước. Mặc dù, cải cách tiền lương thực hiện từ 01/7/2024 (từ mức lương cơ sở 1.800.000 đồng lên mức 2.34</w:t>
      </w:r>
      <w:r w:rsidR="001C5E17">
        <w:rPr>
          <w:sz w:val="28"/>
          <w:szCs w:val="28"/>
          <w:lang w:val="en-US"/>
        </w:rPr>
        <w:t>0.000 đồng) nhưng hiện tại Ban Q</w:t>
      </w:r>
      <w:r>
        <w:rPr>
          <w:sz w:val="28"/>
          <w:szCs w:val="28"/>
          <w:lang w:val="en-US"/>
        </w:rPr>
        <w:t xml:space="preserve">uản lý vẫn chi trả thu nhập hàng tháng tính theo mức lương cơ sở 2.340.000 đồng/tháng bảo đảm không vượt quá mức tiền lương và thu nhập tăng thêm được hưởng của tháng 6/2024 (thời điểm áp dụng mức lương cơ sở 1.800.000 đồng) theo quy định tại Nghị định </w:t>
      </w:r>
      <w:r w:rsidR="001C5E17">
        <w:rPr>
          <w:sz w:val="28"/>
          <w:szCs w:val="28"/>
          <w:lang w:val="en-US"/>
        </w:rPr>
        <w:t xml:space="preserve">số </w:t>
      </w:r>
      <w:r>
        <w:rPr>
          <w:sz w:val="28"/>
          <w:szCs w:val="28"/>
          <w:lang w:val="en-US"/>
        </w:rPr>
        <w:t>73/2024/NĐ-CP ngày 30/6/2024.</w:t>
      </w:r>
    </w:p>
    <w:p w:rsidR="00730530" w:rsidRDefault="00730530" w:rsidP="00730530">
      <w:pPr>
        <w:tabs>
          <w:tab w:val="left" w:pos="720"/>
        </w:tabs>
        <w:spacing w:before="120"/>
        <w:ind w:left="90"/>
        <w:jc w:val="both"/>
        <w:rPr>
          <w:sz w:val="28"/>
          <w:szCs w:val="28"/>
          <w:lang w:val="en-US"/>
        </w:rPr>
      </w:pPr>
      <w:r>
        <w:rPr>
          <w:sz w:val="28"/>
          <w:szCs w:val="28"/>
          <w:lang w:val="en-US"/>
        </w:rPr>
        <w:tab/>
        <w:t xml:space="preserve">- </w:t>
      </w:r>
      <w:r w:rsidRPr="00D711EC">
        <w:rPr>
          <w:i/>
          <w:sz w:val="28"/>
          <w:szCs w:val="28"/>
          <w:lang w:val="en-US"/>
        </w:rPr>
        <w:t>Kinh phí thực hiện chế độ không tự chủ</w:t>
      </w:r>
      <w:r>
        <w:rPr>
          <w:sz w:val="28"/>
          <w:szCs w:val="28"/>
          <w:lang w:val="en-US"/>
        </w:rPr>
        <w:t xml:space="preserve">: 9 tháng đầu năm 2024 </w:t>
      </w:r>
      <w:r w:rsidRPr="00162532">
        <w:rPr>
          <w:sz w:val="28"/>
          <w:szCs w:val="28"/>
          <w:lang w:val="en-US"/>
        </w:rPr>
        <w:t>đã</w:t>
      </w:r>
      <w:r>
        <w:rPr>
          <w:sz w:val="28"/>
          <w:szCs w:val="28"/>
          <w:lang w:val="en-US"/>
        </w:rPr>
        <w:t xml:space="preserve"> chi 2.678 triệu đồng, đạt 3</w:t>
      </w:r>
      <w:r w:rsidR="0030757E">
        <w:rPr>
          <w:sz w:val="28"/>
          <w:szCs w:val="28"/>
          <w:lang w:val="en-US"/>
        </w:rPr>
        <w:t>6</w:t>
      </w:r>
      <w:r>
        <w:rPr>
          <w:sz w:val="28"/>
          <w:szCs w:val="28"/>
          <w:lang w:val="en-US"/>
        </w:rPr>
        <w:t>,</w:t>
      </w:r>
      <w:r w:rsidR="0030757E">
        <w:rPr>
          <w:sz w:val="28"/>
          <w:szCs w:val="28"/>
          <w:lang w:val="en-US"/>
        </w:rPr>
        <w:t>67</w:t>
      </w:r>
      <w:r>
        <w:rPr>
          <w:sz w:val="28"/>
          <w:szCs w:val="28"/>
          <w:lang w:val="en-US"/>
        </w:rPr>
        <w:t>% so với dự toán n</w:t>
      </w:r>
      <w:r w:rsidRPr="001F074E">
        <w:rPr>
          <w:sz w:val="28"/>
          <w:szCs w:val="28"/>
          <w:lang w:val="en-US"/>
        </w:rPr>
        <w:t>ă</w:t>
      </w:r>
      <w:r>
        <w:rPr>
          <w:sz w:val="28"/>
          <w:szCs w:val="28"/>
          <w:lang w:val="en-US"/>
        </w:rPr>
        <w:t>m và bằng 1</w:t>
      </w:r>
      <w:r w:rsidR="0030757E">
        <w:rPr>
          <w:sz w:val="28"/>
          <w:szCs w:val="28"/>
          <w:lang w:val="en-US"/>
        </w:rPr>
        <w:t>81</w:t>
      </w:r>
      <w:r>
        <w:rPr>
          <w:sz w:val="28"/>
          <w:szCs w:val="28"/>
          <w:lang w:val="en-US"/>
        </w:rPr>
        <w:t>,</w:t>
      </w:r>
      <w:r w:rsidR="0030757E">
        <w:rPr>
          <w:sz w:val="28"/>
          <w:szCs w:val="28"/>
          <w:lang w:val="en-US"/>
        </w:rPr>
        <w:t>56</w:t>
      </w:r>
      <w:r>
        <w:rPr>
          <w:sz w:val="28"/>
          <w:szCs w:val="28"/>
          <w:lang w:val="en-US"/>
        </w:rPr>
        <w:t xml:space="preserve">%  so với cùng kỳ năm 2023, như vậy tăng </w:t>
      </w:r>
      <w:r w:rsidR="0030757E">
        <w:rPr>
          <w:sz w:val="28"/>
          <w:szCs w:val="28"/>
          <w:lang w:val="en-US"/>
        </w:rPr>
        <w:t>81</w:t>
      </w:r>
      <w:r>
        <w:rPr>
          <w:sz w:val="28"/>
          <w:szCs w:val="28"/>
          <w:lang w:val="en-US"/>
        </w:rPr>
        <w:t>,</w:t>
      </w:r>
      <w:r w:rsidR="0030757E">
        <w:rPr>
          <w:sz w:val="28"/>
          <w:szCs w:val="28"/>
          <w:lang w:val="en-US"/>
        </w:rPr>
        <w:t>56</w:t>
      </w:r>
      <w:r>
        <w:rPr>
          <w:sz w:val="28"/>
          <w:szCs w:val="28"/>
          <w:lang w:val="en-US"/>
        </w:rPr>
        <w:t>% mức chi so với cùng kỳ năm trước.</w:t>
      </w:r>
    </w:p>
    <w:p w:rsidR="00730530" w:rsidRDefault="00730530" w:rsidP="00730530">
      <w:pPr>
        <w:tabs>
          <w:tab w:val="left" w:pos="720"/>
        </w:tabs>
        <w:spacing w:before="120"/>
        <w:ind w:left="90" w:firstLine="630"/>
        <w:jc w:val="both"/>
        <w:rPr>
          <w:sz w:val="28"/>
          <w:szCs w:val="28"/>
          <w:lang w:val="en-US"/>
        </w:rPr>
      </w:pPr>
      <w:r>
        <w:rPr>
          <w:sz w:val="28"/>
          <w:szCs w:val="28"/>
          <w:lang w:val="en-US"/>
        </w:rPr>
        <w:t>Nguyên nhân tăng so với cùng kỳ năm 2023: Năm 2024 được giao kinh phí cải cách tiền lương từ nguồn không tự chủ nên 9 tháng đầu năm 2024 thực hiện chi trả các khoản lương và đóng góp theo lương của cán bộ biên chế từ nguồn kinh phí không tự chủ nên tỷ lệ giải ngân của 9 tháng đầu năm 2024 cao hơn so với cùng kỳ 2023.</w:t>
      </w:r>
    </w:p>
    <w:p w:rsidR="00730530" w:rsidRDefault="00730530" w:rsidP="00730530">
      <w:pPr>
        <w:tabs>
          <w:tab w:val="left" w:pos="720"/>
        </w:tabs>
        <w:spacing w:before="120"/>
        <w:ind w:left="90"/>
        <w:jc w:val="both"/>
        <w:rPr>
          <w:sz w:val="28"/>
          <w:szCs w:val="28"/>
          <w:lang w:val="en-US"/>
        </w:rPr>
      </w:pPr>
      <w:r>
        <w:rPr>
          <w:sz w:val="28"/>
          <w:szCs w:val="28"/>
          <w:lang w:val="en-US"/>
        </w:rPr>
        <w:tab/>
      </w:r>
      <w:r w:rsidRPr="00D62712">
        <w:rPr>
          <w:b/>
          <w:i/>
          <w:sz w:val="28"/>
          <w:szCs w:val="28"/>
          <w:lang w:val="en-US"/>
        </w:rPr>
        <w:t>2. Chi Nghiên cứu khoa học</w:t>
      </w:r>
      <w:r>
        <w:rPr>
          <w:sz w:val="28"/>
          <w:szCs w:val="28"/>
          <w:lang w:val="en-US"/>
        </w:rPr>
        <w:t xml:space="preserve">: </w:t>
      </w:r>
    </w:p>
    <w:p w:rsidR="0030757E" w:rsidRDefault="00730530" w:rsidP="0030757E">
      <w:pPr>
        <w:tabs>
          <w:tab w:val="left" w:pos="720"/>
        </w:tabs>
        <w:spacing w:before="120" w:after="120"/>
        <w:ind w:left="90"/>
        <w:jc w:val="both"/>
        <w:rPr>
          <w:sz w:val="28"/>
          <w:szCs w:val="28"/>
          <w:lang w:val="en-US"/>
        </w:rPr>
      </w:pPr>
      <w:r>
        <w:rPr>
          <w:sz w:val="28"/>
          <w:szCs w:val="28"/>
          <w:lang w:val="en-US"/>
        </w:rPr>
        <w:tab/>
      </w:r>
      <w:r w:rsidR="0030757E">
        <w:rPr>
          <w:sz w:val="28"/>
          <w:szCs w:val="28"/>
          <w:lang w:val="en-US"/>
        </w:rPr>
        <w:t>Trong 9</w:t>
      </w:r>
      <w:r w:rsidR="0030757E">
        <w:rPr>
          <w:sz w:val="28"/>
          <w:szCs w:val="28"/>
          <w:lang w:val="en-US"/>
        </w:rPr>
        <w:t xml:space="preserve"> tháng đầu năm 2024 </w:t>
      </w:r>
      <w:r w:rsidR="0030757E" w:rsidRPr="00162532">
        <w:rPr>
          <w:sz w:val="28"/>
          <w:szCs w:val="28"/>
          <w:lang w:val="en-US"/>
        </w:rPr>
        <w:t>đã</w:t>
      </w:r>
      <w:r w:rsidR="0030757E">
        <w:rPr>
          <w:sz w:val="28"/>
          <w:szCs w:val="28"/>
          <w:lang w:val="en-US"/>
        </w:rPr>
        <w:t xml:space="preserve"> chi </w:t>
      </w:r>
      <w:r w:rsidR="0030757E">
        <w:rPr>
          <w:sz w:val="28"/>
          <w:szCs w:val="28"/>
          <w:lang w:val="en-US"/>
        </w:rPr>
        <w:t>3</w:t>
      </w:r>
      <w:r w:rsidR="0030757E">
        <w:rPr>
          <w:sz w:val="28"/>
          <w:szCs w:val="28"/>
          <w:lang w:val="en-US"/>
        </w:rPr>
        <w:t>.</w:t>
      </w:r>
      <w:r w:rsidR="0030757E">
        <w:rPr>
          <w:sz w:val="28"/>
          <w:szCs w:val="28"/>
          <w:lang w:val="en-US"/>
        </w:rPr>
        <w:t>272</w:t>
      </w:r>
      <w:r w:rsidR="0030757E">
        <w:rPr>
          <w:sz w:val="28"/>
          <w:szCs w:val="28"/>
          <w:lang w:val="en-US"/>
        </w:rPr>
        <w:t xml:space="preserve"> triệu đồng, đạt </w:t>
      </w:r>
      <w:r w:rsidR="0030757E">
        <w:rPr>
          <w:sz w:val="28"/>
          <w:szCs w:val="28"/>
          <w:lang w:val="en-US"/>
        </w:rPr>
        <w:t>68</w:t>
      </w:r>
      <w:r w:rsidR="0030757E">
        <w:rPr>
          <w:sz w:val="28"/>
          <w:szCs w:val="28"/>
          <w:lang w:val="en-US"/>
        </w:rPr>
        <w:t>,</w:t>
      </w:r>
      <w:r w:rsidR="0030757E">
        <w:rPr>
          <w:sz w:val="28"/>
          <w:szCs w:val="28"/>
          <w:lang w:val="en-US"/>
        </w:rPr>
        <w:t>28</w:t>
      </w:r>
      <w:r w:rsidR="0030757E">
        <w:rPr>
          <w:sz w:val="28"/>
          <w:szCs w:val="28"/>
          <w:lang w:val="en-US"/>
        </w:rPr>
        <w:t xml:space="preserve"> so với dự toán n</w:t>
      </w:r>
      <w:r w:rsidR="0030757E" w:rsidRPr="001F074E">
        <w:rPr>
          <w:sz w:val="28"/>
          <w:szCs w:val="28"/>
          <w:lang w:val="en-US"/>
        </w:rPr>
        <w:t>ă</w:t>
      </w:r>
      <w:r w:rsidR="0030757E">
        <w:rPr>
          <w:sz w:val="28"/>
          <w:szCs w:val="28"/>
          <w:lang w:val="en-US"/>
        </w:rPr>
        <w:t xml:space="preserve">m và bằng </w:t>
      </w:r>
      <w:r w:rsidR="0030757E">
        <w:rPr>
          <w:sz w:val="28"/>
          <w:szCs w:val="28"/>
          <w:lang w:val="en-US"/>
        </w:rPr>
        <w:t>100</w:t>
      </w:r>
      <w:r w:rsidR="0030757E">
        <w:rPr>
          <w:sz w:val="28"/>
          <w:szCs w:val="28"/>
          <w:lang w:val="en-US"/>
        </w:rPr>
        <w:t>,</w:t>
      </w:r>
      <w:r w:rsidR="0030757E">
        <w:rPr>
          <w:sz w:val="28"/>
          <w:szCs w:val="28"/>
          <w:lang w:val="en-US"/>
        </w:rPr>
        <w:t>22%  so với cùng kỳ năm 2023,</w:t>
      </w:r>
      <w:r w:rsidR="0030757E" w:rsidRPr="0030757E">
        <w:rPr>
          <w:sz w:val="28"/>
          <w:szCs w:val="28"/>
          <w:lang w:val="en-US"/>
        </w:rPr>
        <w:t xml:space="preserve"> </w:t>
      </w:r>
      <w:r w:rsidR="0030757E">
        <w:rPr>
          <w:sz w:val="28"/>
          <w:szCs w:val="28"/>
          <w:lang w:val="en-US"/>
        </w:rPr>
        <w:t>như vậy tình hình tăng giảm tương đương so với cùng kỳ năm trước.</w:t>
      </w:r>
    </w:p>
    <w:p w:rsidR="0030757E" w:rsidRDefault="0030757E" w:rsidP="0030757E">
      <w:pPr>
        <w:tabs>
          <w:tab w:val="left" w:pos="720"/>
        </w:tabs>
        <w:spacing w:before="120" w:after="120"/>
        <w:ind w:left="90"/>
        <w:jc w:val="both"/>
        <w:rPr>
          <w:sz w:val="28"/>
          <w:szCs w:val="28"/>
          <w:lang w:val="en-US"/>
        </w:rPr>
      </w:pPr>
    </w:p>
    <w:p w:rsidR="00730530" w:rsidRDefault="00730530" w:rsidP="00730530">
      <w:pPr>
        <w:tabs>
          <w:tab w:val="left" w:pos="720"/>
        </w:tabs>
        <w:spacing w:before="120"/>
        <w:ind w:left="90"/>
        <w:jc w:val="both"/>
        <w:rPr>
          <w:sz w:val="28"/>
          <w:szCs w:val="28"/>
          <w:lang w:val="en-US"/>
        </w:rPr>
      </w:pPr>
      <w:r>
        <w:rPr>
          <w:sz w:val="28"/>
          <w:szCs w:val="28"/>
          <w:lang w:val="en-US"/>
        </w:rPr>
        <w:tab/>
      </w:r>
      <w:r w:rsidRPr="00D62712">
        <w:rPr>
          <w:b/>
          <w:i/>
          <w:sz w:val="28"/>
          <w:szCs w:val="28"/>
          <w:lang w:val="en-US"/>
        </w:rPr>
        <w:t>3. Chi hoạt động kinh tế</w:t>
      </w:r>
      <w:r w:rsidRPr="00D62712">
        <w:rPr>
          <w:i/>
          <w:sz w:val="28"/>
          <w:szCs w:val="28"/>
          <w:lang w:val="en-US"/>
        </w:rPr>
        <w:t>:</w:t>
      </w:r>
      <w:r>
        <w:rPr>
          <w:sz w:val="28"/>
          <w:szCs w:val="28"/>
          <w:lang w:val="en-US"/>
        </w:rPr>
        <w:t xml:space="preserve"> </w:t>
      </w:r>
    </w:p>
    <w:p w:rsidR="00730530" w:rsidRDefault="00730530" w:rsidP="00730530">
      <w:pPr>
        <w:spacing w:before="120"/>
        <w:ind w:firstLine="720"/>
        <w:jc w:val="both"/>
        <w:rPr>
          <w:color w:val="000000"/>
          <w:sz w:val="28"/>
          <w:szCs w:val="28"/>
          <w:lang w:val="en-US"/>
        </w:rPr>
      </w:pPr>
      <w:r w:rsidRPr="00555573">
        <w:rPr>
          <w:color w:val="000000"/>
          <w:sz w:val="28"/>
          <w:szCs w:val="28"/>
          <w:lang w:val="en-US"/>
        </w:rPr>
        <w:t xml:space="preserve">Dự toán chi </w:t>
      </w:r>
      <w:r>
        <w:rPr>
          <w:color w:val="000000"/>
          <w:sz w:val="28"/>
          <w:szCs w:val="28"/>
          <w:lang w:val="en-US"/>
        </w:rPr>
        <w:t>sự nghiệp kinh tế</w:t>
      </w:r>
      <w:r w:rsidRPr="00555573">
        <w:rPr>
          <w:color w:val="000000"/>
          <w:sz w:val="28"/>
          <w:szCs w:val="28"/>
          <w:lang w:val="en-US"/>
        </w:rPr>
        <w:t xml:space="preserve"> năm 2024 được giao</w:t>
      </w:r>
      <w:r>
        <w:rPr>
          <w:color w:val="000000"/>
          <w:sz w:val="28"/>
          <w:szCs w:val="28"/>
          <w:lang w:val="en-US"/>
        </w:rPr>
        <w:t xml:space="preserve"> sau khi thực hiện trừ tiết kiệm 5% dự toán giao là 475</w:t>
      </w:r>
      <w:r w:rsidRPr="00555573">
        <w:rPr>
          <w:color w:val="000000"/>
          <w:sz w:val="28"/>
          <w:szCs w:val="28"/>
          <w:lang w:val="en-US"/>
        </w:rPr>
        <w:t xml:space="preserve"> triệu đồng, </w:t>
      </w:r>
      <w:r>
        <w:rPr>
          <w:color w:val="000000"/>
          <w:sz w:val="28"/>
          <w:szCs w:val="28"/>
          <w:lang w:val="en-US"/>
        </w:rPr>
        <w:t xml:space="preserve">9 tháng đầu năm </w:t>
      </w:r>
      <w:r w:rsidRPr="00555573">
        <w:rPr>
          <w:color w:val="000000"/>
          <w:sz w:val="28"/>
          <w:szCs w:val="28"/>
          <w:lang w:val="en-US"/>
        </w:rPr>
        <w:t>2024</w:t>
      </w:r>
      <w:r>
        <w:rPr>
          <w:color w:val="000000"/>
          <w:sz w:val="28"/>
          <w:szCs w:val="28"/>
          <w:lang w:val="en-US"/>
        </w:rPr>
        <w:t xml:space="preserve"> đã giải ngân 99,7 triệu đồng, đạt 20,99% so với dự toán năm, bằng 250,63% so với tỷ lệ giải</w:t>
      </w:r>
      <w:r>
        <w:rPr>
          <w:sz w:val="28"/>
          <w:szCs w:val="28"/>
          <w:lang w:val="en-US"/>
        </w:rPr>
        <w:t xml:space="preserve"> cùng kỳ năm trước, như vậy tăng 150,63% mức chi cùng kỳ năm trước.</w:t>
      </w:r>
    </w:p>
    <w:p w:rsidR="00730530" w:rsidRPr="004C0B53" w:rsidRDefault="00730530" w:rsidP="00730530">
      <w:pPr>
        <w:spacing w:before="120"/>
        <w:ind w:firstLine="720"/>
        <w:jc w:val="both"/>
        <w:rPr>
          <w:sz w:val="28"/>
          <w:szCs w:val="28"/>
          <w:lang w:val="en-US"/>
        </w:rPr>
      </w:pPr>
      <w:r>
        <w:rPr>
          <w:sz w:val="28"/>
          <w:szCs w:val="28"/>
          <w:lang w:val="en-US"/>
        </w:rPr>
        <w:t>Nguyên nhân tăng so với cùng kỳ năm 2023: Theo kế hoạch 9</w:t>
      </w:r>
      <w:r w:rsidR="0030757E">
        <w:rPr>
          <w:sz w:val="28"/>
          <w:szCs w:val="28"/>
          <w:lang w:val="en-US"/>
        </w:rPr>
        <w:t xml:space="preserve"> tháng đầu năm Ban Q</w:t>
      </w:r>
      <w:r>
        <w:rPr>
          <w:sz w:val="28"/>
          <w:szCs w:val="28"/>
          <w:lang w:val="en-US"/>
        </w:rPr>
        <w:t>uản lý đã tổ chức thành công và thực hiện giải ngân hết 100% kinh phí hội nghị gặp gỡ đối thoại với các nhà đầu tư trong Khu CNC Hòa Lạc. So với cùng kỳ năm trước thì kinh phí tổ chức hội nghị đầu tư thường tổ chức và giải ngân vào các tháng cuối năm.</w:t>
      </w:r>
      <w:r w:rsidR="0030757E">
        <w:rPr>
          <w:sz w:val="28"/>
          <w:szCs w:val="28"/>
          <w:lang w:val="en-US"/>
        </w:rPr>
        <w:t>/.</w:t>
      </w:r>
    </w:p>
    <w:p w:rsidR="00F546B6" w:rsidRPr="004C0B53" w:rsidRDefault="00F546B6" w:rsidP="00730530">
      <w:pPr>
        <w:spacing w:before="120" w:after="120"/>
        <w:ind w:firstLine="720"/>
        <w:jc w:val="both"/>
        <w:rPr>
          <w:sz w:val="28"/>
          <w:szCs w:val="28"/>
          <w:lang w:val="en-US"/>
        </w:rPr>
      </w:pPr>
    </w:p>
    <w:sectPr w:rsidR="00F546B6" w:rsidRPr="004C0B53" w:rsidSect="00FD6B53">
      <w:headerReference w:type="default" r:id="rId8"/>
      <w:footerReference w:type="first" r:id="rId9"/>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C45" w:rsidRDefault="00693C45" w:rsidP="00F96048">
      <w:r>
        <w:separator/>
      </w:r>
    </w:p>
  </w:endnote>
  <w:endnote w:type="continuationSeparator" w:id="0">
    <w:p w:rsidR="00693C45" w:rsidRDefault="00693C45" w:rsidP="00F9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048" w:rsidRDefault="00F96048" w:rsidP="00F96048">
    <w:pPr>
      <w:pStyle w:val="Footer"/>
      <w:rPr>
        <w:lang w:val="en-US"/>
      </w:rPr>
    </w:pPr>
  </w:p>
  <w:p w:rsidR="00F96048" w:rsidRPr="00F96048" w:rsidRDefault="00F96048" w:rsidP="00F96048">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C45" w:rsidRDefault="00693C45" w:rsidP="00F96048">
      <w:r>
        <w:separator/>
      </w:r>
    </w:p>
  </w:footnote>
  <w:footnote w:type="continuationSeparator" w:id="0">
    <w:p w:rsidR="00693C45" w:rsidRDefault="00693C45" w:rsidP="00F960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7274077"/>
      <w:docPartObj>
        <w:docPartGallery w:val="Page Numbers (Top of Page)"/>
        <w:docPartUnique/>
      </w:docPartObj>
    </w:sdtPr>
    <w:sdtEndPr>
      <w:rPr>
        <w:noProof/>
      </w:rPr>
    </w:sdtEndPr>
    <w:sdtContent>
      <w:p w:rsidR="000600A0" w:rsidRDefault="000600A0">
        <w:pPr>
          <w:pStyle w:val="Header"/>
          <w:jc w:val="center"/>
        </w:pPr>
        <w:r>
          <w:fldChar w:fldCharType="begin"/>
        </w:r>
        <w:r>
          <w:instrText xml:space="preserve"> PAGE   \* MERGEFORMAT </w:instrText>
        </w:r>
        <w:r>
          <w:fldChar w:fldCharType="separate"/>
        </w:r>
        <w:r w:rsidR="001C6299">
          <w:rPr>
            <w:noProof/>
          </w:rPr>
          <w:t>4</w:t>
        </w:r>
        <w:r>
          <w:rPr>
            <w:noProof/>
          </w:rPr>
          <w:fldChar w:fldCharType="end"/>
        </w:r>
      </w:p>
    </w:sdtContent>
  </w:sdt>
  <w:p w:rsidR="000600A0" w:rsidRDefault="000600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9C"/>
    <w:multiLevelType w:val="hybridMultilevel"/>
    <w:tmpl w:val="AA28667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144104D"/>
    <w:multiLevelType w:val="hybridMultilevel"/>
    <w:tmpl w:val="DD221DF4"/>
    <w:lvl w:ilvl="0" w:tplc="04090001">
      <w:start w:val="1"/>
      <w:numFmt w:val="bullet"/>
      <w:lvlText w:val=""/>
      <w:lvlJc w:val="left"/>
      <w:pPr>
        <w:ind w:left="1817" w:hanging="360"/>
      </w:pPr>
      <w:rPr>
        <w:rFonts w:ascii="Symbol" w:hAnsi="Symbol"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2" w15:restartNumberingAfterBreak="0">
    <w:nsid w:val="11C27ECB"/>
    <w:multiLevelType w:val="hybridMultilevel"/>
    <w:tmpl w:val="4844E2D0"/>
    <w:lvl w:ilvl="0" w:tplc="D7545FB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3" w15:restartNumberingAfterBreak="0">
    <w:nsid w:val="1A613AF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9350C"/>
    <w:multiLevelType w:val="hybridMultilevel"/>
    <w:tmpl w:val="57F239B8"/>
    <w:lvl w:ilvl="0" w:tplc="4094D4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860F95"/>
    <w:multiLevelType w:val="hybridMultilevel"/>
    <w:tmpl w:val="868E9A76"/>
    <w:lvl w:ilvl="0" w:tplc="644293B8">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7911AB0"/>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15:restartNumberingAfterBreak="0">
    <w:nsid w:val="2F045C02"/>
    <w:multiLevelType w:val="multilevel"/>
    <w:tmpl w:val="CD7234AE"/>
    <w:lvl w:ilvl="0">
      <w:start w:val="1"/>
      <w:numFmt w:val="decimal"/>
      <w:lvlText w:val="%1."/>
      <w:lvlJc w:val="left"/>
      <w:pPr>
        <w:ind w:left="360" w:hanging="360"/>
      </w:pPr>
      <w:rPr>
        <w:rFonts w:hint="default"/>
        <w:i w:val="0"/>
        <w:sz w:val="28"/>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32B3D93"/>
    <w:multiLevelType w:val="hybridMultilevel"/>
    <w:tmpl w:val="A0BA784C"/>
    <w:lvl w:ilvl="0" w:tplc="DEA61D48">
      <w:numFmt w:val="bullet"/>
      <w:lvlText w:val="-"/>
      <w:lvlJc w:val="left"/>
      <w:pPr>
        <w:ind w:left="735" w:hanging="360"/>
      </w:pPr>
      <w:rPr>
        <w:rFonts w:ascii="Times New Roman" w:eastAsia="Times New Roman"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 w15:restartNumberingAfterBreak="0">
    <w:nsid w:val="48EE1821"/>
    <w:multiLevelType w:val="hybridMultilevel"/>
    <w:tmpl w:val="BCB0282E"/>
    <w:lvl w:ilvl="0" w:tplc="3CBC80F8">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0" w15:restartNumberingAfterBreak="0">
    <w:nsid w:val="495760BF"/>
    <w:multiLevelType w:val="hybridMultilevel"/>
    <w:tmpl w:val="545CD926"/>
    <w:lvl w:ilvl="0" w:tplc="F946BD22">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1" w15:restartNumberingAfterBreak="0">
    <w:nsid w:val="4C412150"/>
    <w:multiLevelType w:val="hybridMultilevel"/>
    <w:tmpl w:val="7D42CF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FD14D9"/>
    <w:multiLevelType w:val="hybridMultilevel"/>
    <w:tmpl w:val="E6D8A122"/>
    <w:lvl w:ilvl="0" w:tplc="CE1E093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7A110EC"/>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2E7CC0"/>
    <w:multiLevelType w:val="hybridMultilevel"/>
    <w:tmpl w:val="582E3514"/>
    <w:lvl w:ilvl="0" w:tplc="04090003">
      <w:start w:val="1"/>
      <w:numFmt w:val="bullet"/>
      <w:lvlText w:val="o"/>
      <w:lvlJc w:val="left"/>
      <w:pPr>
        <w:ind w:left="1817" w:hanging="360"/>
      </w:pPr>
      <w:rPr>
        <w:rFonts w:ascii="Courier New" w:hAnsi="Courier New" w:cs="Courier New" w:hint="default"/>
      </w:rPr>
    </w:lvl>
    <w:lvl w:ilvl="1" w:tplc="04090003" w:tentative="1">
      <w:start w:val="1"/>
      <w:numFmt w:val="bullet"/>
      <w:lvlText w:val="o"/>
      <w:lvlJc w:val="left"/>
      <w:pPr>
        <w:ind w:left="2537" w:hanging="360"/>
      </w:pPr>
      <w:rPr>
        <w:rFonts w:ascii="Courier New" w:hAnsi="Courier New" w:cs="Courier New" w:hint="default"/>
      </w:rPr>
    </w:lvl>
    <w:lvl w:ilvl="2" w:tplc="04090005" w:tentative="1">
      <w:start w:val="1"/>
      <w:numFmt w:val="bullet"/>
      <w:lvlText w:val=""/>
      <w:lvlJc w:val="left"/>
      <w:pPr>
        <w:ind w:left="3257" w:hanging="360"/>
      </w:pPr>
      <w:rPr>
        <w:rFonts w:ascii="Wingdings" w:hAnsi="Wingdings" w:hint="default"/>
      </w:rPr>
    </w:lvl>
    <w:lvl w:ilvl="3" w:tplc="04090001" w:tentative="1">
      <w:start w:val="1"/>
      <w:numFmt w:val="bullet"/>
      <w:lvlText w:val=""/>
      <w:lvlJc w:val="left"/>
      <w:pPr>
        <w:ind w:left="3977" w:hanging="360"/>
      </w:pPr>
      <w:rPr>
        <w:rFonts w:ascii="Symbol" w:hAnsi="Symbol" w:hint="default"/>
      </w:rPr>
    </w:lvl>
    <w:lvl w:ilvl="4" w:tplc="04090003" w:tentative="1">
      <w:start w:val="1"/>
      <w:numFmt w:val="bullet"/>
      <w:lvlText w:val="o"/>
      <w:lvlJc w:val="left"/>
      <w:pPr>
        <w:ind w:left="4697" w:hanging="360"/>
      </w:pPr>
      <w:rPr>
        <w:rFonts w:ascii="Courier New" w:hAnsi="Courier New" w:cs="Courier New" w:hint="default"/>
      </w:rPr>
    </w:lvl>
    <w:lvl w:ilvl="5" w:tplc="04090005" w:tentative="1">
      <w:start w:val="1"/>
      <w:numFmt w:val="bullet"/>
      <w:lvlText w:val=""/>
      <w:lvlJc w:val="left"/>
      <w:pPr>
        <w:ind w:left="5417" w:hanging="360"/>
      </w:pPr>
      <w:rPr>
        <w:rFonts w:ascii="Wingdings" w:hAnsi="Wingdings" w:hint="default"/>
      </w:rPr>
    </w:lvl>
    <w:lvl w:ilvl="6" w:tplc="04090001" w:tentative="1">
      <w:start w:val="1"/>
      <w:numFmt w:val="bullet"/>
      <w:lvlText w:val=""/>
      <w:lvlJc w:val="left"/>
      <w:pPr>
        <w:ind w:left="6137" w:hanging="360"/>
      </w:pPr>
      <w:rPr>
        <w:rFonts w:ascii="Symbol" w:hAnsi="Symbol" w:hint="default"/>
      </w:rPr>
    </w:lvl>
    <w:lvl w:ilvl="7" w:tplc="04090003" w:tentative="1">
      <w:start w:val="1"/>
      <w:numFmt w:val="bullet"/>
      <w:lvlText w:val="o"/>
      <w:lvlJc w:val="left"/>
      <w:pPr>
        <w:ind w:left="6857" w:hanging="360"/>
      </w:pPr>
      <w:rPr>
        <w:rFonts w:ascii="Courier New" w:hAnsi="Courier New" w:cs="Courier New" w:hint="default"/>
      </w:rPr>
    </w:lvl>
    <w:lvl w:ilvl="8" w:tplc="04090005" w:tentative="1">
      <w:start w:val="1"/>
      <w:numFmt w:val="bullet"/>
      <w:lvlText w:val=""/>
      <w:lvlJc w:val="left"/>
      <w:pPr>
        <w:ind w:left="7577" w:hanging="360"/>
      </w:pPr>
      <w:rPr>
        <w:rFonts w:ascii="Wingdings" w:hAnsi="Wingdings" w:hint="default"/>
      </w:rPr>
    </w:lvl>
  </w:abstractNum>
  <w:abstractNum w:abstractNumId="15" w15:restartNumberingAfterBreak="0">
    <w:nsid w:val="5A7A4339"/>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7A4BE6"/>
    <w:multiLevelType w:val="hybridMultilevel"/>
    <w:tmpl w:val="B7F00D8A"/>
    <w:lvl w:ilvl="0" w:tplc="3AFC645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3C2DD2"/>
    <w:multiLevelType w:val="hybridMultilevel"/>
    <w:tmpl w:val="B6B27762"/>
    <w:lvl w:ilvl="0" w:tplc="F408621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15:restartNumberingAfterBreak="0">
    <w:nsid w:val="66BD2DA8"/>
    <w:multiLevelType w:val="multilevel"/>
    <w:tmpl w:val="76F875B8"/>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24C2D56"/>
    <w:multiLevelType w:val="hybridMultilevel"/>
    <w:tmpl w:val="929CF4A2"/>
    <w:lvl w:ilvl="0" w:tplc="F3ACC776">
      <w:numFmt w:val="bullet"/>
      <w:lvlText w:val="-"/>
      <w:lvlJc w:val="left"/>
      <w:pPr>
        <w:ind w:left="3660" w:hanging="360"/>
      </w:pPr>
      <w:rPr>
        <w:rFonts w:ascii="Times New Roman" w:eastAsia="Times New Roman" w:hAnsi="Times New Roman" w:cs="Times New Roman"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12"/>
  </w:num>
  <w:num w:numId="5">
    <w:abstractNumId w:val="2"/>
  </w:num>
  <w:num w:numId="6">
    <w:abstractNumId w:val="11"/>
  </w:num>
  <w:num w:numId="7">
    <w:abstractNumId w:val="4"/>
  </w:num>
  <w:num w:numId="8">
    <w:abstractNumId w:val="7"/>
  </w:num>
  <w:num w:numId="9">
    <w:abstractNumId w:val="14"/>
  </w:num>
  <w:num w:numId="10">
    <w:abstractNumId w:val="0"/>
  </w:num>
  <w:num w:numId="11">
    <w:abstractNumId w:val="1"/>
  </w:num>
  <w:num w:numId="12">
    <w:abstractNumId w:val="18"/>
  </w:num>
  <w:num w:numId="13">
    <w:abstractNumId w:val="17"/>
  </w:num>
  <w:num w:numId="14">
    <w:abstractNumId w:val="3"/>
  </w:num>
  <w:num w:numId="15">
    <w:abstractNumId w:val="10"/>
  </w:num>
  <w:num w:numId="16">
    <w:abstractNumId w:val="15"/>
  </w:num>
  <w:num w:numId="17">
    <w:abstractNumId w:val="8"/>
  </w:num>
  <w:num w:numId="18">
    <w:abstractNumId w:val="6"/>
  </w:num>
  <w:num w:numId="19">
    <w:abstractNumId w:val="13"/>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53"/>
    <w:rsid w:val="0000057A"/>
    <w:rsid w:val="00001099"/>
    <w:rsid w:val="000069F2"/>
    <w:rsid w:val="000107C2"/>
    <w:rsid w:val="000130EA"/>
    <w:rsid w:val="0001338B"/>
    <w:rsid w:val="00013ED9"/>
    <w:rsid w:val="00032501"/>
    <w:rsid w:val="0003278A"/>
    <w:rsid w:val="00034FC3"/>
    <w:rsid w:val="00037CBE"/>
    <w:rsid w:val="00043C50"/>
    <w:rsid w:val="00054FC3"/>
    <w:rsid w:val="00056A85"/>
    <w:rsid w:val="00056C65"/>
    <w:rsid w:val="000575D3"/>
    <w:rsid w:val="00057A33"/>
    <w:rsid w:val="000600A0"/>
    <w:rsid w:val="0006217F"/>
    <w:rsid w:val="00067787"/>
    <w:rsid w:val="00071A9B"/>
    <w:rsid w:val="00073BF1"/>
    <w:rsid w:val="00082898"/>
    <w:rsid w:val="0009231D"/>
    <w:rsid w:val="00092C3C"/>
    <w:rsid w:val="000A4C4D"/>
    <w:rsid w:val="000B1518"/>
    <w:rsid w:val="000C159D"/>
    <w:rsid w:val="000C746D"/>
    <w:rsid w:val="000D6C9C"/>
    <w:rsid w:val="000E092F"/>
    <w:rsid w:val="000E1902"/>
    <w:rsid w:val="000F5D9A"/>
    <w:rsid w:val="000F5EC4"/>
    <w:rsid w:val="00101F78"/>
    <w:rsid w:val="00102CED"/>
    <w:rsid w:val="001059E9"/>
    <w:rsid w:val="0012001F"/>
    <w:rsid w:val="00120298"/>
    <w:rsid w:val="00122120"/>
    <w:rsid w:val="00122D8C"/>
    <w:rsid w:val="001339DD"/>
    <w:rsid w:val="0013792B"/>
    <w:rsid w:val="0014274D"/>
    <w:rsid w:val="00142ADE"/>
    <w:rsid w:val="001516A2"/>
    <w:rsid w:val="00153BA3"/>
    <w:rsid w:val="00160C92"/>
    <w:rsid w:val="00162532"/>
    <w:rsid w:val="001648BC"/>
    <w:rsid w:val="00165D9E"/>
    <w:rsid w:val="00177677"/>
    <w:rsid w:val="00184BA4"/>
    <w:rsid w:val="001861C8"/>
    <w:rsid w:val="001A1C7E"/>
    <w:rsid w:val="001A3533"/>
    <w:rsid w:val="001A5425"/>
    <w:rsid w:val="001B5701"/>
    <w:rsid w:val="001B7C81"/>
    <w:rsid w:val="001C02EE"/>
    <w:rsid w:val="001C4C5E"/>
    <w:rsid w:val="001C5E17"/>
    <w:rsid w:val="001C6299"/>
    <w:rsid w:val="001D72C6"/>
    <w:rsid w:val="001E53E5"/>
    <w:rsid w:val="001F074E"/>
    <w:rsid w:val="001F3312"/>
    <w:rsid w:val="001F4C56"/>
    <w:rsid w:val="001F58D8"/>
    <w:rsid w:val="0021180D"/>
    <w:rsid w:val="0021685B"/>
    <w:rsid w:val="00224918"/>
    <w:rsid w:val="002311A6"/>
    <w:rsid w:val="00234119"/>
    <w:rsid w:val="00236EEE"/>
    <w:rsid w:val="0024036E"/>
    <w:rsid w:val="002470D4"/>
    <w:rsid w:val="0025416B"/>
    <w:rsid w:val="00255F11"/>
    <w:rsid w:val="00260BC1"/>
    <w:rsid w:val="00261014"/>
    <w:rsid w:val="00262C5B"/>
    <w:rsid w:val="00263ECA"/>
    <w:rsid w:val="002659DF"/>
    <w:rsid w:val="002748EE"/>
    <w:rsid w:val="00275552"/>
    <w:rsid w:val="0028000B"/>
    <w:rsid w:val="00284666"/>
    <w:rsid w:val="00285E9D"/>
    <w:rsid w:val="00295F55"/>
    <w:rsid w:val="00297DD6"/>
    <w:rsid w:val="002A145B"/>
    <w:rsid w:val="002A2283"/>
    <w:rsid w:val="002A25E4"/>
    <w:rsid w:val="002A3C2A"/>
    <w:rsid w:val="002A4DFC"/>
    <w:rsid w:val="002B048A"/>
    <w:rsid w:val="002B0DB1"/>
    <w:rsid w:val="002B203F"/>
    <w:rsid w:val="002B5CDB"/>
    <w:rsid w:val="002C0ADF"/>
    <w:rsid w:val="002C1BA8"/>
    <w:rsid w:val="002D2DBA"/>
    <w:rsid w:val="002D567E"/>
    <w:rsid w:val="002D5AF4"/>
    <w:rsid w:val="002F4CB2"/>
    <w:rsid w:val="00304166"/>
    <w:rsid w:val="00306F96"/>
    <w:rsid w:val="0030757E"/>
    <w:rsid w:val="0031005C"/>
    <w:rsid w:val="00323780"/>
    <w:rsid w:val="00340212"/>
    <w:rsid w:val="00340DA9"/>
    <w:rsid w:val="003536BB"/>
    <w:rsid w:val="00357A4E"/>
    <w:rsid w:val="00361AFA"/>
    <w:rsid w:val="003623D7"/>
    <w:rsid w:val="003624E9"/>
    <w:rsid w:val="003745F3"/>
    <w:rsid w:val="00386015"/>
    <w:rsid w:val="003872AE"/>
    <w:rsid w:val="00387959"/>
    <w:rsid w:val="003929B9"/>
    <w:rsid w:val="003946E0"/>
    <w:rsid w:val="003A03E9"/>
    <w:rsid w:val="003A0759"/>
    <w:rsid w:val="003A1716"/>
    <w:rsid w:val="003A5734"/>
    <w:rsid w:val="003B3D8D"/>
    <w:rsid w:val="003B74FC"/>
    <w:rsid w:val="003C13E9"/>
    <w:rsid w:val="003C47C1"/>
    <w:rsid w:val="003D02D3"/>
    <w:rsid w:val="003D0F6E"/>
    <w:rsid w:val="003D28FB"/>
    <w:rsid w:val="003D5287"/>
    <w:rsid w:val="003D5F28"/>
    <w:rsid w:val="003D6247"/>
    <w:rsid w:val="003D69CC"/>
    <w:rsid w:val="003E21B3"/>
    <w:rsid w:val="003E2D5A"/>
    <w:rsid w:val="003E353D"/>
    <w:rsid w:val="003E42F4"/>
    <w:rsid w:val="003E64AD"/>
    <w:rsid w:val="003F05AF"/>
    <w:rsid w:val="003F2C9E"/>
    <w:rsid w:val="003F7E22"/>
    <w:rsid w:val="004001A7"/>
    <w:rsid w:val="004018BB"/>
    <w:rsid w:val="00401A06"/>
    <w:rsid w:val="00402618"/>
    <w:rsid w:val="00407136"/>
    <w:rsid w:val="004307C6"/>
    <w:rsid w:val="004379A6"/>
    <w:rsid w:val="00437AE3"/>
    <w:rsid w:val="00440587"/>
    <w:rsid w:val="004418BD"/>
    <w:rsid w:val="00445FE2"/>
    <w:rsid w:val="00450192"/>
    <w:rsid w:val="00450B0F"/>
    <w:rsid w:val="00464EA0"/>
    <w:rsid w:val="004734E2"/>
    <w:rsid w:val="00481A39"/>
    <w:rsid w:val="00481DE5"/>
    <w:rsid w:val="004908DE"/>
    <w:rsid w:val="00494AF9"/>
    <w:rsid w:val="00494B56"/>
    <w:rsid w:val="004A17FB"/>
    <w:rsid w:val="004A2669"/>
    <w:rsid w:val="004A5908"/>
    <w:rsid w:val="004B0A46"/>
    <w:rsid w:val="004C3656"/>
    <w:rsid w:val="004C7094"/>
    <w:rsid w:val="004E1EE2"/>
    <w:rsid w:val="004E2CA9"/>
    <w:rsid w:val="004E5184"/>
    <w:rsid w:val="004E6C3E"/>
    <w:rsid w:val="004E7297"/>
    <w:rsid w:val="004E7829"/>
    <w:rsid w:val="004F3327"/>
    <w:rsid w:val="0051205C"/>
    <w:rsid w:val="00513C4D"/>
    <w:rsid w:val="005159EF"/>
    <w:rsid w:val="00516CAB"/>
    <w:rsid w:val="00523791"/>
    <w:rsid w:val="00532AAA"/>
    <w:rsid w:val="00534BCF"/>
    <w:rsid w:val="005360F6"/>
    <w:rsid w:val="00561310"/>
    <w:rsid w:val="005651F5"/>
    <w:rsid w:val="00567327"/>
    <w:rsid w:val="005752DF"/>
    <w:rsid w:val="00580735"/>
    <w:rsid w:val="00595DD8"/>
    <w:rsid w:val="005B4776"/>
    <w:rsid w:val="005B6B5F"/>
    <w:rsid w:val="005C30CD"/>
    <w:rsid w:val="005E7A63"/>
    <w:rsid w:val="005F19EA"/>
    <w:rsid w:val="005F5461"/>
    <w:rsid w:val="005F7864"/>
    <w:rsid w:val="00617648"/>
    <w:rsid w:val="00621520"/>
    <w:rsid w:val="0062198A"/>
    <w:rsid w:val="00624EE8"/>
    <w:rsid w:val="006359E4"/>
    <w:rsid w:val="00645A11"/>
    <w:rsid w:val="00646186"/>
    <w:rsid w:val="0065402C"/>
    <w:rsid w:val="00654C75"/>
    <w:rsid w:val="00656E54"/>
    <w:rsid w:val="00662523"/>
    <w:rsid w:val="00662A15"/>
    <w:rsid w:val="00670A9C"/>
    <w:rsid w:val="00674A3D"/>
    <w:rsid w:val="00693C45"/>
    <w:rsid w:val="006976BB"/>
    <w:rsid w:val="006A0D2F"/>
    <w:rsid w:val="006B22B5"/>
    <w:rsid w:val="006B3D50"/>
    <w:rsid w:val="006B407B"/>
    <w:rsid w:val="006C22D6"/>
    <w:rsid w:val="006C257C"/>
    <w:rsid w:val="006C4C85"/>
    <w:rsid w:val="006C7CD6"/>
    <w:rsid w:val="006F127C"/>
    <w:rsid w:val="006F1BF0"/>
    <w:rsid w:val="006F3B07"/>
    <w:rsid w:val="006F45F5"/>
    <w:rsid w:val="006F5C25"/>
    <w:rsid w:val="006F631F"/>
    <w:rsid w:val="006F769A"/>
    <w:rsid w:val="007155B4"/>
    <w:rsid w:val="00716437"/>
    <w:rsid w:val="007168EA"/>
    <w:rsid w:val="007203E2"/>
    <w:rsid w:val="00724AB3"/>
    <w:rsid w:val="00724F69"/>
    <w:rsid w:val="0072671C"/>
    <w:rsid w:val="00730530"/>
    <w:rsid w:val="00737C87"/>
    <w:rsid w:val="00741832"/>
    <w:rsid w:val="0074515E"/>
    <w:rsid w:val="007454BE"/>
    <w:rsid w:val="00754180"/>
    <w:rsid w:val="00773CAB"/>
    <w:rsid w:val="0077504E"/>
    <w:rsid w:val="00775D2D"/>
    <w:rsid w:val="00780602"/>
    <w:rsid w:val="00782A1D"/>
    <w:rsid w:val="00782CA1"/>
    <w:rsid w:val="00783F75"/>
    <w:rsid w:val="00787C56"/>
    <w:rsid w:val="007969D9"/>
    <w:rsid w:val="007A6A58"/>
    <w:rsid w:val="007C2797"/>
    <w:rsid w:val="007C27DC"/>
    <w:rsid w:val="007D312D"/>
    <w:rsid w:val="007D4261"/>
    <w:rsid w:val="007D6C58"/>
    <w:rsid w:val="007D7787"/>
    <w:rsid w:val="007E3A6B"/>
    <w:rsid w:val="007E57EB"/>
    <w:rsid w:val="007F3EB4"/>
    <w:rsid w:val="007F5C13"/>
    <w:rsid w:val="00801E24"/>
    <w:rsid w:val="0080262C"/>
    <w:rsid w:val="0080788E"/>
    <w:rsid w:val="00812824"/>
    <w:rsid w:val="008128FC"/>
    <w:rsid w:val="008149F7"/>
    <w:rsid w:val="0082082B"/>
    <w:rsid w:val="0082118F"/>
    <w:rsid w:val="00826024"/>
    <w:rsid w:val="008472BD"/>
    <w:rsid w:val="008478B2"/>
    <w:rsid w:val="00870FB9"/>
    <w:rsid w:val="00873CC0"/>
    <w:rsid w:val="00874385"/>
    <w:rsid w:val="008755F7"/>
    <w:rsid w:val="008765F4"/>
    <w:rsid w:val="00880F4A"/>
    <w:rsid w:val="00883A1F"/>
    <w:rsid w:val="00883E5D"/>
    <w:rsid w:val="0088485B"/>
    <w:rsid w:val="008A06BA"/>
    <w:rsid w:val="008A65E3"/>
    <w:rsid w:val="008B0E41"/>
    <w:rsid w:val="008B1B20"/>
    <w:rsid w:val="008B283C"/>
    <w:rsid w:val="008C45B5"/>
    <w:rsid w:val="008D2C76"/>
    <w:rsid w:val="008D636A"/>
    <w:rsid w:val="008F733C"/>
    <w:rsid w:val="009110A1"/>
    <w:rsid w:val="00921811"/>
    <w:rsid w:val="00924C74"/>
    <w:rsid w:val="00925C91"/>
    <w:rsid w:val="00936EF9"/>
    <w:rsid w:val="00936F62"/>
    <w:rsid w:val="00944364"/>
    <w:rsid w:val="00947DC9"/>
    <w:rsid w:val="00950122"/>
    <w:rsid w:val="009511C4"/>
    <w:rsid w:val="00956B3D"/>
    <w:rsid w:val="00960612"/>
    <w:rsid w:val="00962BB1"/>
    <w:rsid w:val="009640A3"/>
    <w:rsid w:val="009654C5"/>
    <w:rsid w:val="00976D6F"/>
    <w:rsid w:val="009877C8"/>
    <w:rsid w:val="00987F53"/>
    <w:rsid w:val="0099290D"/>
    <w:rsid w:val="009A1326"/>
    <w:rsid w:val="009A6677"/>
    <w:rsid w:val="009B126A"/>
    <w:rsid w:val="009B59D6"/>
    <w:rsid w:val="009B60A3"/>
    <w:rsid w:val="009C22FA"/>
    <w:rsid w:val="009C4AC8"/>
    <w:rsid w:val="009D515A"/>
    <w:rsid w:val="009D799B"/>
    <w:rsid w:val="009D7E42"/>
    <w:rsid w:val="009E0DF5"/>
    <w:rsid w:val="009E26D0"/>
    <w:rsid w:val="009E29CA"/>
    <w:rsid w:val="009E59A3"/>
    <w:rsid w:val="009E7213"/>
    <w:rsid w:val="009F0BB4"/>
    <w:rsid w:val="009F3681"/>
    <w:rsid w:val="009F6454"/>
    <w:rsid w:val="009F6F6D"/>
    <w:rsid w:val="00A03256"/>
    <w:rsid w:val="00A07984"/>
    <w:rsid w:val="00A14E0C"/>
    <w:rsid w:val="00A178D1"/>
    <w:rsid w:val="00A2040E"/>
    <w:rsid w:val="00A216B0"/>
    <w:rsid w:val="00A216F1"/>
    <w:rsid w:val="00A26ED5"/>
    <w:rsid w:val="00A32794"/>
    <w:rsid w:val="00A45703"/>
    <w:rsid w:val="00A50984"/>
    <w:rsid w:val="00A51009"/>
    <w:rsid w:val="00A55DF0"/>
    <w:rsid w:val="00A65C2E"/>
    <w:rsid w:val="00A71164"/>
    <w:rsid w:val="00A72177"/>
    <w:rsid w:val="00A73077"/>
    <w:rsid w:val="00A73CF7"/>
    <w:rsid w:val="00A76282"/>
    <w:rsid w:val="00A76BF4"/>
    <w:rsid w:val="00A76D13"/>
    <w:rsid w:val="00A8501F"/>
    <w:rsid w:val="00A9089F"/>
    <w:rsid w:val="00A95EA4"/>
    <w:rsid w:val="00A96ABF"/>
    <w:rsid w:val="00A970AB"/>
    <w:rsid w:val="00AA5C36"/>
    <w:rsid w:val="00AB04EF"/>
    <w:rsid w:val="00AB2AB6"/>
    <w:rsid w:val="00AC3AAB"/>
    <w:rsid w:val="00AD1AE5"/>
    <w:rsid w:val="00AD22DF"/>
    <w:rsid w:val="00AD47F1"/>
    <w:rsid w:val="00AE1B11"/>
    <w:rsid w:val="00AE56BD"/>
    <w:rsid w:val="00AE76B7"/>
    <w:rsid w:val="00AF0DC3"/>
    <w:rsid w:val="00AF1DE7"/>
    <w:rsid w:val="00AF762E"/>
    <w:rsid w:val="00B01EEE"/>
    <w:rsid w:val="00B118A8"/>
    <w:rsid w:val="00B27981"/>
    <w:rsid w:val="00B35B92"/>
    <w:rsid w:val="00B40142"/>
    <w:rsid w:val="00B42A80"/>
    <w:rsid w:val="00B43D95"/>
    <w:rsid w:val="00B463F0"/>
    <w:rsid w:val="00B46A65"/>
    <w:rsid w:val="00B529FE"/>
    <w:rsid w:val="00B53F39"/>
    <w:rsid w:val="00B575A4"/>
    <w:rsid w:val="00B60089"/>
    <w:rsid w:val="00B63F72"/>
    <w:rsid w:val="00B64FF0"/>
    <w:rsid w:val="00B67B4E"/>
    <w:rsid w:val="00B73064"/>
    <w:rsid w:val="00B73830"/>
    <w:rsid w:val="00B8318D"/>
    <w:rsid w:val="00B908C5"/>
    <w:rsid w:val="00B943FE"/>
    <w:rsid w:val="00B9498B"/>
    <w:rsid w:val="00BA0F10"/>
    <w:rsid w:val="00BA1C21"/>
    <w:rsid w:val="00BA3574"/>
    <w:rsid w:val="00BA368C"/>
    <w:rsid w:val="00BA4BC9"/>
    <w:rsid w:val="00BA58EB"/>
    <w:rsid w:val="00BB1B40"/>
    <w:rsid w:val="00BB1BE7"/>
    <w:rsid w:val="00BC0AA1"/>
    <w:rsid w:val="00BC55D7"/>
    <w:rsid w:val="00BC5956"/>
    <w:rsid w:val="00BD21E7"/>
    <w:rsid w:val="00BD3CA9"/>
    <w:rsid w:val="00BD5453"/>
    <w:rsid w:val="00BE1503"/>
    <w:rsid w:val="00BE19F8"/>
    <w:rsid w:val="00BE323B"/>
    <w:rsid w:val="00BE3E27"/>
    <w:rsid w:val="00BE49F1"/>
    <w:rsid w:val="00BF2535"/>
    <w:rsid w:val="00C026DD"/>
    <w:rsid w:val="00C0637D"/>
    <w:rsid w:val="00C12D25"/>
    <w:rsid w:val="00C36F43"/>
    <w:rsid w:val="00C37730"/>
    <w:rsid w:val="00C428CA"/>
    <w:rsid w:val="00C53B9F"/>
    <w:rsid w:val="00C62EAE"/>
    <w:rsid w:val="00C64C95"/>
    <w:rsid w:val="00C64EEA"/>
    <w:rsid w:val="00C71625"/>
    <w:rsid w:val="00C7231B"/>
    <w:rsid w:val="00C75E15"/>
    <w:rsid w:val="00C7677F"/>
    <w:rsid w:val="00C800A7"/>
    <w:rsid w:val="00C90AF7"/>
    <w:rsid w:val="00C90E99"/>
    <w:rsid w:val="00C91AAC"/>
    <w:rsid w:val="00CA1584"/>
    <w:rsid w:val="00CA547B"/>
    <w:rsid w:val="00CB241F"/>
    <w:rsid w:val="00CB29CF"/>
    <w:rsid w:val="00CB4AE0"/>
    <w:rsid w:val="00CB59C9"/>
    <w:rsid w:val="00CB5BDB"/>
    <w:rsid w:val="00CC4FF5"/>
    <w:rsid w:val="00CD142F"/>
    <w:rsid w:val="00CD2193"/>
    <w:rsid w:val="00CD2CF2"/>
    <w:rsid w:val="00CD2D60"/>
    <w:rsid w:val="00CD4253"/>
    <w:rsid w:val="00CD6A1D"/>
    <w:rsid w:val="00CE74AF"/>
    <w:rsid w:val="00CF520C"/>
    <w:rsid w:val="00CF6265"/>
    <w:rsid w:val="00CF7BC6"/>
    <w:rsid w:val="00D00752"/>
    <w:rsid w:val="00D02853"/>
    <w:rsid w:val="00D05F67"/>
    <w:rsid w:val="00D06FE6"/>
    <w:rsid w:val="00D10E2B"/>
    <w:rsid w:val="00D11321"/>
    <w:rsid w:val="00D4499C"/>
    <w:rsid w:val="00D47AAD"/>
    <w:rsid w:val="00D57532"/>
    <w:rsid w:val="00D57E40"/>
    <w:rsid w:val="00D61DC3"/>
    <w:rsid w:val="00D71148"/>
    <w:rsid w:val="00D72825"/>
    <w:rsid w:val="00D75137"/>
    <w:rsid w:val="00D84F6F"/>
    <w:rsid w:val="00D9257B"/>
    <w:rsid w:val="00D93ACC"/>
    <w:rsid w:val="00D9430F"/>
    <w:rsid w:val="00D94EE4"/>
    <w:rsid w:val="00DA39AB"/>
    <w:rsid w:val="00DA4A81"/>
    <w:rsid w:val="00DA5642"/>
    <w:rsid w:val="00DA5C9F"/>
    <w:rsid w:val="00DB39B6"/>
    <w:rsid w:val="00DC2E47"/>
    <w:rsid w:val="00DC4E88"/>
    <w:rsid w:val="00DD1B11"/>
    <w:rsid w:val="00DD520C"/>
    <w:rsid w:val="00DE4808"/>
    <w:rsid w:val="00DE4C73"/>
    <w:rsid w:val="00DF4393"/>
    <w:rsid w:val="00E0668C"/>
    <w:rsid w:val="00E0764E"/>
    <w:rsid w:val="00E12583"/>
    <w:rsid w:val="00E13F58"/>
    <w:rsid w:val="00E21541"/>
    <w:rsid w:val="00E25822"/>
    <w:rsid w:val="00E273B7"/>
    <w:rsid w:val="00E35649"/>
    <w:rsid w:val="00E45EA7"/>
    <w:rsid w:val="00E50AD5"/>
    <w:rsid w:val="00E60C81"/>
    <w:rsid w:val="00E621EB"/>
    <w:rsid w:val="00E66CF3"/>
    <w:rsid w:val="00E673E3"/>
    <w:rsid w:val="00E70AB6"/>
    <w:rsid w:val="00E73D74"/>
    <w:rsid w:val="00E745D0"/>
    <w:rsid w:val="00E7537D"/>
    <w:rsid w:val="00E75583"/>
    <w:rsid w:val="00E76955"/>
    <w:rsid w:val="00E83541"/>
    <w:rsid w:val="00E84DB8"/>
    <w:rsid w:val="00E85E9B"/>
    <w:rsid w:val="00E86749"/>
    <w:rsid w:val="00E91E71"/>
    <w:rsid w:val="00EA1B15"/>
    <w:rsid w:val="00EB6DAB"/>
    <w:rsid w:val="00EB7017"/>
    <w:rsid w:val="00EB7E36"/>
    <w:rsid w:val="00EC0270"/>
    <w:rsid w:val="00EC238F"/>
    <w:rsid w:val="00EC3ECC"/>
    <w:rsid w:val="00EC4D13"/>
    <w:rsid w:val="00ED3DEA"/>
    <w:rsid w:val="00ED5F95"/>
    <w:rsid w:val="00EE0894"/>
    <w:rsid w:val="00EE39A4"/>
    <w:rsid w:val="00EE5CD4"/>
    <w:rsid w:val="00EE7AD6"/>
    <w:rsid w:val="00F073A1"/>
    <w:rsid w:val="00F0745F"/>
    <w:rsid w:val="00F1524A"/>
    <w:rsid w:val="00F16759"/>
    <w:rsid w:val="00F307B4"/>
    <w:rsid w:val="00F309C7"/>
    <w:rsid w:val="00F34210"/>
    <w:rsid w:val="00F34939"/>
    <w:rsid w:val="00F351C2"/>
    <w:rsid w:val="00F40A2F"/>
    <w:rsid w:val="00F41C8D"/>
    <w:rsid w:val="00F4565B"/>
    <w:rsid w:val="00F546B6"/>
    <w:rsid w:val="00F55E05"/>
    <w:rsid w:val="00F62037"/>
    <w:rsid w:val="00F67B28"/>
    <w:rsid w:val="00F726F2"/>
    <w:rsid w:val="00F750DD"/>
    <w:rsid w:val="00F752A3"/>
    <w:rsid w:val="00F80D06"/>
    <w:rsid w:val="00F8598A"/>
    <w:rsid w:val="00F9182D"/>
    <w:rsid w:val="00F96048"/>
    <w:rsid w:val="00FA524C"/>
    <w:rsid w:val="00FB0236"/>
    <w:rsid w:val="00FB3D9C"/>
    <w:rsid w:val="00FB5D7E"/>
    <w:rsid w:val="00FB68CF"/>
    <w:rsid w:val="00FC0636"/>
    <w:rsid w:val="00FC7246"/>
    <w:rsid w:val="00FD5B62"/>
    <w:rsid w:val="00FD6B53"/>
    <w:rsid w:val="00FE3968"/>
    <w:rsid w:val="00FE572D"/>
    <w:rsid w:val="00FE7868"/>
    <w:rsid w:val="00FF1A7D"/>
    <w:rsid w:val="00FF390A"/>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352B6"/>
  <w15:chartTrackingRefBased/>
  <w15:docId w15:val="{2D8A10F0-7AC1-4D20-9974-62CC9D41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636"/>
    <w:rPr>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F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339DD"/>
    <w:rPr>
      <w:i/>
      <w:iCs/>
    </w:rPr>
  </w:style>
  <w:style w:type="paragraph" w:styleId="BalloonText">
    <w:name w:val="Balloon Text"/>
    <w:basedOn w:val="Normal"/>
    <w:link w:val="BalloonTextChar"/>
    <w:rsid w:val="00960612"/>
    <w:rPr>
      <w:rFonts w:ascii="Tahoma" w:hAnsi="Tahoma" w:cs="Tahoma"/>
      <w:sz w:val="16"/>
      <w:szCs w:val="16"/>
    </w:rPr>
  </w:style>
  <w:style w:type="character" w:customStyle="1" w:styleId="BalloonTextChar">
    <w:name w:val="Balloon Text Char"/>
    <w:link w:val="BalloonText"/>
    <w:rsid w:val="00960612"/>
    <w:rPr>
      <w:rFonts w:ascii="Tahoma" w:hAnsi="Tahoma" w:cs="Tahoma"/>
      <w:sz w:val="16"/>
      <w:szCs w:val="16"/>
      <w:lang w:val="vi-VN" w:eastAsia="vi-VN"/>
    </w:rPr>
  </w:style>
  <w:style w:type="paragraph" w:styleId="Header">
    <w:name w:val="header"/>
    <w:basedOn w:val="Normal"/>
    <w:link w:val="HeaderChar"/>
    <w:uiPriority w:val="99"/>
    <w:rsid w:val="00F96048"/>
    <w:pPr>
      <w:tabs>
        <w:tab w:val="center" w:pos="4680"/>
        <w:tab w:val="right" w:pos="9360"/>
      </w:tabs>
    </w:pPr>
  </w:style>
  <w:style w:type="character" w:customStyle="1" w:styleId="HeaderChar">
    <w:name w:val="Header Char"/>
    <w:link w:val="Header"/>
    <w:uiPriority w:val="99"/>
    <w:rsid w:val="00F96048"/>
    <w:rPr>
      <w:sz w:val="24"/>
      <w:szCs w:val="24"/>
      <w:lang w:val="vi-VN" w:eastAsia="vi-VN"/>
    </w:rPr>
  </w:style>
  <w:style w:type="paragraph" w:styleId="Footer">
    <w:name w:val="footer"/>
    <w:basedOn w:val="Normal"/>
    <w:link w:val="FooterChar"/>
    <w:uiPriority w:val="99"/>
    <w:rsid w:val="00F96048"/>
    <w:pPr>
      <w:tabs>
        <w:tab w:val="center" w:pos="4680"/>
        <w:tab w:val="right" w:pos="9360"/>
      </w:tabs>
    </w:pPr>
  </w:style>
  <w:style w:type="character" w:customStyle="1" w:styleId="FooterChar">
    <w:name w:val="Footer Char"/>
    <w:link w:val="Footer"/>
    <w:uiPriority w:val="99"/>
    <w:rsid w:val="00F96048"/>
    <w:rPr>
      <w:sz w:val="24"/>
      <w:szCs w:val="24"/>
      <w:lang w:val="vi-VN" w:eastAsia="vi-VN"/>
    </w:rPr>
  </w:style>
  <w:style w:type="paragraph" w:styleId="ListParagraph">
    <w:name w:val="List Paragraph"/>
    <w:basedOn w:val="Normal"/>
    <w:uiPriority w:val="34"/>
    <w:qFormat/>
    <w:rsid w:val="00A72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705492">
      <w:bodyDiv w:val="1"/>
      <w:marLeft w:val="0"/>
      <w:marRight w:val="0"/>
      <w:marTop w:val="0"/>
      <w:marBottom w:val="0"/>
      <w:divBdr>
        <w:top w:val="none" w:sz="0" w:space="0" w:color="auto"/>
        <w:left w:val="none" w:sz="0" w:space="0" w:color="auto"/>
        <w:bottom w:val="none" w:sz="0" w:space="0" w:color="auto"/>
        <w:right w:val="none" w:sz="0" w:space="0" w:color="auto"/>
      </w:divBdr>
    </w:div>
    <w:div w:id="12417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04ACD-D149-4158-90E7-E2F417FC5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BAN QUẢN LÝ</vt:lpstr>
    </vt:vector>
  </TitlesOfParts>
  <Company>HOME</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QUẢN LÝ</dc:title>
  <dc:subject/>
  <dc:creator>DIEULINH</dc:creator>
  <cp:keywords/>
  <cp:lastModifiedBy>HuongPC</cp:lastModifiedBy>
  <cp:revision>70</cp:revision>
  <cp:lastPrinted>2024-10-08T07:51:00Z</cp:lastPrinted>
  <dcterms:created xsi:type="dcterms:W3CDTF">2020-10-08T08:24:00Z</dcterms:created>
  <dcterms:modified xsi:type="dcterms:W3CDTF">2024-10-08T07:59:00Z</dcterms:modified>
</cp:coreProperties>
</file>